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30B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宋体" w:hAnsi="宋体" w:cs="宋体"/>
          <w:b/>
          <w:bCs/>
          <w:sz w:val="44"/>
          <w:szCs w:val="44"/>
          <w:highlight w:val="none"/>
          <w:lang w:val="en-US" w:eastAsia="zh-CN"/>
        </w:rPr>
      </w:pPr>
      <w:bookmarkStart w:id="0" w:name="_Toc24273"/>
      <w:r>
        <w:rPr>
          <w:rFonts w:hint="eastAsia" w:ascii="宋体" w:hAnsi="宋体" w:eastAsia="宋体" w:cs="宋体"/>
          <w:b/>
          <w:bCs/>
          <w:kern w:val="2"/>
          <w:sz w:val="44"/>
          <w:szCs w:val="44"/>
          <w:highlight w:val="none"/>
          <w:lang w:val="en-US" w:eastAsia="zh-CN" w:bidi="ar-SA"/>
        </w:rPr>
        <w:t>融水苗族自治县人民医院</w:t>
      </w:r>
      <w:r>
        <w:rPr>
          <w:rFonts w:hint="eastAsia" w:ascii="宋体" w:hAnsi="宋体" w:eastAsia="宋体" w:cs="宋体"/>
          <w:b/>
          <w:bCs/>
          <w:i w:val="0"/>
          <w:iCs w:val="0"/>
          <w:caps w:val="0"/>
          <w:color w:val="333333"/>
          <w:spacing w:val="0"/>
          <w:kern w:val="0"/>
          <w:sz w:val="44"/>
          <w:szCs w:val="44"/>
          <w:shd w:val="clear" w:fill="FFFFFF"/>
          <w:lang w:val="en-US" w:eastAsia="zh-CN" w:bidi="ar"/>
        </w:rPr>
        <w:t>医院2025-2027年度审计（一年一审）服务采购项目</w:t>
      </w:r>
      <w:r>
        <w:rPr>
          <w:rFonts w:hint="eastAsia" w:ascii="宋体" w:hAnsi="宋体" w:eastAsia="宋体" w:cs="宋体"/>
          <w:b/>
          <w:bCs/>
          <w:sz w:val="44"/>
          <w:szCs w:val="44"/>
          <w:highlight w:val="none"/>
        </w:rPr>
        <w:t>综合</w:t>
      </w:r>
      <w:bookmarkEnd w:id="0"/>
      <w:r>
        <w:rPr>
          <w:rFonts w:hint="eastAsia" w:ascii="宋体" w:hAnsi="宋体" w:cs="宋体"/>
          <w:b/>
          <w:bCs/>
          <w:sz w:val="44"/>
          <w:szCs w:val="44"/>
          <w:highlight w:val="none"/>
          <w:lang w:val="en-US" w:eastAsia="zh-CN"/>
        </w:rPr>
        <w:t>评分表</w:t>
      </w:r>
    </w:p>
    <w:p w14:paraId="6C70AE38">
      <w:pPr>
        <w:pStyle w:val="2"/>
        <w:keepNext w:val="0"/>
        <w:keepLines w:val="0"/>
        <w:pageBreakBefore w:val="0"/>
        <w:widowControl w:val="0"/>
        <w:numPr>
          <w:ilvl w:val="0"/>
          <w:numId w:val="0"/>
        </w:numPr>
        <w:tabs>
          <w:tab w:val="left" w:pos="454"/>
          <w:tab w:val="left" w:pos="720"/>
          <w:tab w:val="left" w:pos="840"/>
        </w:tabs>
        <w:kinsoku/>
        <w:wordWrap/>
        <w:overflowPunct/>
        <w:topLinePunct w:val="0"/>
        <w:autoSpaceDE/>
        <w:autoSpaceDN/>
        <w:bidi w:val="0"/>
        <w:adjustRightInd/>
        <w:snapToGrid/>
        <w:spacing w:after="120" w:line="240" w:lineRule="exact"/>
        <w:ind w:leftChars="0"/>
        <w:jc w:val="both"/>
        <w:textAlignment w:val="auto"/>
        <w:rPr>
          <w:rFonts w:hint="eastAsia" w:ascii="宋体" w:hAnsi="宋体" w:cs="宋体"/>
          <w:b/>
          <w:bCs/>
          <w:sz w:val="44"/>
          <w:szCs w:val="44"/>
          <w:highlight w:val="none"/>
          <w:lang w:val="en-US" w:eastAsia="zh-CN"/>
        </w:rPr>
      </w:pPr>
    </w:p>
    <w:tbl>
      <w:tblPr>
        <w:tblStyle w:val="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12"/>
        <w:gridCol w:w="5369"/>
        <w:gridCol w:w="1346"/>
        <w:gridCol w:w="1303"/>
      </w:tblGrid>
      <w:tr w14:paraId="22CED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trPr>
        <w:tc>
          <w:tcPr>
            <w:tcW w:w="690" w:type="dxa"/>
            <w:noWrap w:val="0"/>
            <w:vAlign w:val="center"/>
          </w:tcPr>
          <w:p w14:paraId="449EC4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1212" w:type="dxa"/>
            <w:noWrap w:val="0"/>
            <w:vAlign w:val="center"/>
          </w:tcPr>
          <w:p w14:paraId="15DE90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评分项目</w:t>
            </w:r>
          </w:p>
        </w:tc>
        <w:tc>
          <w:tcPr>
            <w:tcW w:w="5369" w:type="dxa"/>
            <w:noWrap w:val="0"/>
            <w:vAlign w:val="center"/>
          </w:tcPr>
          <w:p w14:paraId="0358580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评分标准</w:t>
            </w:r>
          </w:p>
        </w:tc>
        <w:tc>
          <w:tcPr>
            <w:tcW w:w="1346" w:type="dxa"/>
            <w:noWrap w:val="0"/>
            <w:vAlign w:val="center"/>
          </w:tcPr>
          <w:p w14:paraId="25429B4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分值</w:t>
            </w:r>
          </w:p>
        </w:tc>
        <w:tc>
          <w:tcPr>
            <w:tcW w:w="1303" w:type="dxa"/>
            <w:noWrap w:val="0"/>
            <w:vAlign w:val="center"/>
          </w:tcPr>
          <w:p w14:paraId="5A821D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分数</w:t>
            </w:r>
          </w:p>
        </w:tc>
      </w:tr>
      <w:tr w14:paraId="61376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5" w:hRule="atLeast"/>
        </w:trPr>
        <w:tc>
          <w:tcPr>
            <w:tcW w:w="690" w:type="dxa"/>
            <w:noWrap w:val="0"/>
            <w:vAlign w:val="center"/>
          </w:tcPr>
          <w:p w14:paraId="73B2451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212" w:type="dxa"/>
            <w:noWrap w:val="0"/>
            <w:vAlign w:val="center"/>
          </w:tcPr>
          <w:p w14:paraId="2CCDC08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报价评分</w:t>
            </w:r>
          </w:p>
          <w:p w14:paraId="5C96E85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（满分10分）</w:t>
            </w:r>
          </w:p>
        </w:tc>
        <w:tc>
          <w:tcPr>
            <w:tcW w:w="5369" w:type="dxa"/>
            <w:noWrap w:val="0"/>
            <w:vAlign w:val="center"/>
          </w:tcPr>
          <w:p w14:paraId="284C3DF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报价</w:t>
            </w:r>
            <w:r>
              <w:rPr>
                <w:rFonts w:hint="eastAsia" w:ascii="宋体" w:hAnsi="宋体" w:cs="宋体"/>
                <w:sz w:val="24"/>
                <w:szCs w:val="24"/>
                <w:lang w:val="en-US" w:eastAsia="zh-CN"/>
              </w:rPr>
              <w:t>：</w:t>
            </w:r>
            <w:r>
              <w:rPr>
                <w:rFonts w:hint="eastAsia" w:ascii="宋体" w:hAnsi="宋体" w:cs="宋体"/>
                <w:color w:val="000000" w:themeColor="text1"/>
                <w:sz w:val="24"/>
                <w:szCs w:val="24"/>
                <w:highlight w:val="none"/>
                <w:lang w:val="en-US" w:eastAsia="zh-CN"/>
                <w14:textFill>
                  <w14:solidFill>
                    <w14:schemeClr w14:val="tx1"/>
                  </w14:solidFill>
                </w14:textFill>
              </w:rPr>
              <w:t>分包一报价 ≤ 45,000.00元，分包二报价 ≤ 120,000.00元，超任一分包控制价直接废标。</w:t>
            </w:r>
            <w:r>
              <w:rPr>
                <w:rFonts w:hint="eastAsia" w:ascii="宋体" w:hAnsi="宋体" w:eastAsia="宋体" w:cs="宋体"/>
                <w:color w:val="000000" w:themeColor="text1"/>
                <w:sz w:val="24"/>
                <w:szCs w:val="24"/>
                <w:highlight w:val="yellow"/>
                <w:lang w:val="en-US" w:eastAsia="zh-CN"/>
                <w14:textFill>
                  <w14:solidFill>
                    <w14:schemeClr w14:val="tx1"/>
                  </w14:solidFill>
                </w14:textFill>
              </w:rPr>
              <w:br w:type="textWrapping"/>
            </w:r>
            <w:r>
              <w:rPr>
                <w:rFonts w:hint="eastAsia" w:ascii="宋体" w:hAnsi="宋体" w:eastAsia="宋体" w:cs="宋体"/>
                <w:sz w:val="24"/>
                <w:szCs w:val="24"/>
                <w:lang w:val="en-US" w:eastAsia="zh-CN"/>
              </w:rPr>
              <w:t>- 计算公式：得分=（最低有效报价/投标报价）×</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分</w:t>
            </w:r>
            <w:r>
              <w:rPr>
                <w:rFonts w:hint="eastAsia" w:ascii="宋体" w:hAnsi="宋体" w:cs="宋体"/>
                <w:sz w:val="24"/>
                <w:szCs w:val="24"/>
                <w:lang w:val="en-US" w:eastAsia="zh-CN"/>
              </w:rPr>
              <w:t>，每项分包满分5分。</w:t>
            </w:r>
          </w:p>
        </w:tc>
        <w:tc>
          <w:tcPr>
            <w:tcW w:w="1346" w:type="dxa"/>
            <w:noWrap w:val="0"/>
            <w:vAlign w:val="center"/>
          </w:tcPr>
          <w:p w14:paraId="40E1938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0-</w:t>
            </w:r>
            <w:r>
              <w:rPr>
                <w:rFonts w:hint="eastAsia" w:ascii="宋体" w:hAnsi="宋体" w:eastAsia="宋体" w:cs="宋体"/>
                <w:sz w:val="24"/>
                <w:szCs w:val="24"/>
                <w:lang w:val="en-US" w:eastAsia="zh-CN"/>
              </w:rPr>
              <w:t>1</w:t>
            </w:r>
            <w:r>
              <w:rPr>
                <w:rFonts w:hint="eastAsia" w:ascii="宋体" w:hAnsi="宋体" w:eastAsia="宋体" w:cs="宋体"/>
                <w:sz w:val="24"/>
                <w:szCs w:val="24"/>
              </w:rPr>
              <w:t>0分（满分</w:t>
            </w:r>
            <w:r>
              <w:rPr>
                <w:rFonts w:hint="eastAsia" w:ascii="宋体" w:hAnsi="宋体" w:eastAsia="宋体" w:cs="宋体"/>
                <w:sz w:val="24"/>
                <w:szCs w:val="24"/>
                <w:lang w:val="en-US" w:eastAsia="zh-CN"/>
              </w:rPr>
              <w:t>1</w:t>
            </w:r>
            <w:r>
              <w:rPr>
                <w:rFonts w:hint="eastAsia" w:ascii="宋体" w:hAnsi="宋体" w:eastAsia="宋体" w:cs="宋体"/>
                <w:sz w:val="24"/>
                <w:szCs w:val="24"/>
              </w:rPr>
              <w:t>0分）</w:t>
            </w:r>
          </w:p>
        </w:tc>
        <w:tc>
          <w:tcPr>
            <w:tcW w:w="1303" w:type="dxa"/>
            <w:noWrap w:val="0"/>
            <w:vAlign w:val="center"/>
          </w:tcPr>
          <w:p w14:paraId="03E9C5A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1D5B5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5" w:hRule="atLeast"/>
        </w:trPr>
        <w:tc>
          <w:tcPr>
            <w:tcW w:w="690" w:type="dxa"/>
            <w:noWrap w:val="0"/>
            <w:vAlign w:val="center"/>
          </w:tcPr>
          <w:p w14:paraId="43A03BA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212" w:type="dxa"/>
            <w:noWrap w:val="0"/>
            <w:vAlign w:val="center"/>
          </w:tcPr>
          <w:p w14:paraId="467B5CA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t>技术</w:t>
            </w:r>
            <w:r>
              <w:rPr>
                <w:rFonts w:hint="eastAsia" w:ascii="宋体" w:hAnsi="宋体" w:eastAsia="宋体" w:cs="宋体"/>
                <w:sz w:val="24"/>
                <w:szCs w:val="24"/>
                <w:lang w:val="en-US" w:eastAsia="zh-CN"/>
              </w:rPr>
              <w:t>部分</w:t>
            </w:r>
          </w:p>
        </w:tc>
        <w:tc>
          <w:tcPr>
            <w:tcW w:w="5369" w:type="dxa"/>
            <w:noWrap w:val="0"/>
            <w:vAlign w:val="center"/>
          </w:tcPr>
          <w:p w14:paraId="56C1471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评审因素</w:t>
            </w:r>
          </w:p>
        </w:tc>
        <w:tc>
          <w:tcPr>
            <w:tcW w:w="1346" w:type="dxa"/>
            <w:noWrap w:val="0"/>
            <w:vAlign w:val="center"/>
          </w:tcPr>
          <w:p w14:paraId="2B297F8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技术分（满分</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tc>
        <w:tc>
          <w:tcPr>
            <w:tcW w:w="1303" w:type="dxa"/>
            <w:noWrap w:val="0"/>
            <w:vAlign w:val="center"/>
          </w:tcPr>
          <w:p w14:paraId="7E72308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7D708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9" w:hRule="atLeast"/>
        </w:trPr>
        <w:tc>
          <w:tcPr>
            <w:tcW w:w="690" w:type="dxa"/>
            <w:noWrap w:val="0"/>
            <w:vAlign w:val="center"/>
          </w:tcPr>
          <w:p w14:paraId="2DF04B0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2.1</w:t>
            </w:r>
          </w:p>
        </w:tc>
        <w:tc>
          <w:tcPr>
            <w:tcW w:w="1212" w:type="dxa"/>
            <w:noWrap w:val="0"/>
            <w:vAlign w:val="center"/>
          </w:tcPr>
          <w:p w14:paraId="2E78A7C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服务方案</w:t>
            </w:r>
          </w:p>
        </w:tc>
        <w:tc>
          <w:tcPr>
            <w:tcW w:w="5369" w:type="dxa"/>
            <w:noWrap w:val="0"/>
            <w:vAlign w:val="top"/>
          </w:tcPr>
          <w:p w14:paraId="0FE5A64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医疗行业适配性（8分）：</w:t>
            </w:r>
          </w:p>
          <w:p w14:paraId="72B5A01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建立医疗行业特色风险评估模型</w:t>
            </w:r>
            <w:r>
              <w:rPr>
                <w:rFonts w:hint="eastAsia" w:ascii="宋体" w:hAnsi="宋体" w:cs="宋体"/>
                <w:sz w:val="24"/>
                <w:szCs w:val="24"/>
                <w:lang w:eastAsia="zh-CN"/>
              </w:rPr>
              <w:t>，模型是否包含财务、运营、合规三类风险</w:t>
            </w:r>
            <w:r>
              <w:rPr>
                <w:rFonts w:hint="eastAsia" w:ascii="宋体" w:hAnsi="宋体" w:eastAsia="宋体" w:cs="宋体"/>
                <w:sz w:val="24"/>
                <w:szCs w:val="24"/>
              </w:rPr>
              <w:t>（4分）</w:t>
            </w:r>
          </w:p>
          <w:p w14:paraId="05C7B46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内控评价符合《公立医院内部控制管理办法》（4分）</w:t>
            </w:r>
          </w:p>
          <w:p w14:paraId="11813A0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 服务内容完整性（8分）：</w:t>
            </w:r>
          </w:p>
          <w:p w14:paraId="74EF485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覆盖预算/收支/采购/资产/科研/合同全流程</w:t>
            </w:r>
            <w:r>
              <w:rPr>
                <w:rFonts w:hint="eastAsia" w:ascii="宋体" w:hAnsi="宋体" w:cs="宋体"/>
                <w:sz w:val="24"/>
                <w:szCs w:val="24"/>
                <w:lang w:eastAsia="zh-CN"/>
              </w:rPr>
              <w:t>，内控评价覆盖流程完整性需提供具体章节说明</w:t>
            </w:r>
            <w:r>
              <w:rPr>
                <w:rFonts w:hint="eastAsia" w:ascii="宋体" w:hAnsi="宋体" w:eastAsia="宋体" w:cs="宋体"/>
                <w:sz w:val="24"/>
                <w:szCs w:val="24"/>
              </w:rPr>
              <w:t>（每缺失一项扣2分）</w:t>
            </w:r>
          </w:p>
          <w:p w14:paraId="117B25C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3. 实施保障（8分）：</w:t>
            </w:r>
          </w:p>
          <w:p w14:paraId="19A5DE8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提供医疗数据安全专项方案（4分）</w:t>
            </w:r>
          </w:p>
          <w:p w14:paraId="2A060A8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highlight w:val="yellow"/>
              </w:rPr>
              <w:t>制定</w:t>
            </w:r>
            <w:r>
              <w:rPr>
                <w:rFonts w:hint="eastAsia" w:ascii="宋体" w:hAnsi="宋体" w:cs="宋体"/>
                <w:sz w:val="24"/>
                <w:szCs w:val="24"/>
                <w:highlight w:val="yellow"/>
                <w:lang w:val="en-US" w:eastAsia="zh-CN"/>
              </w:rPr>
              <w:t>4月1日至4月30日现场审计计划</w:t>
            </w:r>
            <w:r>
              <w:rPr>
                <w:rFonts w:hint="eastAsia" w:ascii="宋体" w:hAnsi="宋体" w:cs="宋体"/>
                <w:sz w:val="24"/>
                <w:szCs w:val="24"/>
                <w:lang w:val="en-US" w:eastAsia="zh-CN"/>
              </w:rPr>
              <w:t>及5</w:t>
            </w:r>
            <w:r>
              <w:rPr>
                <w:rFonts w:hint="eastAsia" w:ascii="宋体" w:hAnsi="宋体" w:eastAsia="宋体" w:cs="宋体"/>
                <w:sz w:val="24"/>
                <w:szCs w:val="24"/>
              </w:rPr>
              <w:t>月30日前交付保障计划（4分）</w:t>
            </w:r>
          </w:p>
        </w:tc>
        <w:tc>
          <w:tcPr>
            <w:tcW w:w="1346" w:type="dxa"/>
            <w:noWrap w:val="0"/>
            <w:vAlign w:val="center"/>
          </w:tcPr>
          <w:p w14:paraId="5CDB96D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0-</w:t>
            </w:r>
            <w:r>
              <w:rPr>
                <w:rFonts w:hint="eastAsia" w:ascii="宋体" w:hAnsi="宋体" w:eastAsia="宋体" w:cs="宋体"/>
                <w:sz w:val="24"/>
                <w:szCs w:val="24"/>
                <w:lang w:val="en-US" w:eastAsia="zh-CN"/>
              </w:rPr>
              <w:t>24</w:t>
            </w:r>
            <w:r>
              <w:rPr>
                <w:rFonts w:hint="eastAsia" w:ascii="宋体" w:hAnsi="宋体" w:eastAsia="宋体" w:cs="宋体"/>
                <w:sz w:val="24"/>
                <w:szCs w:val="24"/>
              </w:rPr>
              <w:t>分</w:t>
            </w:r>
          </w:p>
        </w:tc>
        <w:tc>
          <w:tcPr>
            <w:tcW w:w="1303" w:type="dxa"/>
            <w:noWrap w:val="0"/>
            <w:vAlign w:val="center"/>
          </w:tcPr>
          <w:p w14:paraId="01D8100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5EB5E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1922732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w:t>
            </w:r>
          </w:p>
        </w:tc>
        <w:tc>
          <w:tcPr>
            <w:tcW w:w="1212" w:type="dxa"/>
            <w:noWrap w:val="0"/>
            <w:vAlign w:val="center"/>
          </w:tcPr>
          <w:p w14:paraId="4E78477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服务承诺</w:t>
            </w:r>
          </w:p>
        </w:tc>
        <w:tc>
          <w:tcPr>
            <w:tcW w:w="5369" w:type="dxa"/>
            <w:noWrap w:val="0"/>
            <w:vAlign w:val="top"/>
          </w:tcPr>
          <w:p w14:paraId="28A5F44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团队专业性（7分）：</w:t>
            </w:r>
          </w:p>
          <w:p w14:paraId="62E3EFE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项目组含2名医疗行业资深审计人员（4分）</w:t>
            </w:r>
          </w:p>
          <w:p w14:paraId="303562A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团队成员具备医疗信息化系统审计经验（3分）</w:t>
            </w:r>
          </w:p>
          <w:p w14:paraId="4B9AFA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 响应时效（7分）：</w:t>
            </w:r>
          </w:p>
          <w:p w14:paraId="305E6E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- 2小时内响应，48小时内到场（5分）</w:t>
            </w:r>
          </w:p>
          <w:p w14:paraId="5013249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提供7×24小时应急联络机制（2分）</w:t>
            </w:r>
          </w:p>
          <w:p w14:paraId="128AE98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3. 质量保障（7分）：</w:t>
            </w:r>
          </w:p>
          <w:p w14:paraId="5DA3FFD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提交阶段性成果并经采购方确认（3分）</w:t>
            </w:r>
          </w:p>
          <w:p w14:paraId="0D22DDE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 质保期内免费修正问题（4分）</w:t>
            </w:r>
          </w:p>
        </w:tc>
        <w:tc>
          <w:tcPr>
            <w:tcW w:w="1346" w:type="dxa"/>
            <w:noWrap w:val="0"/>
            <w:vAlign w:val="center"/>
          </w:tcPr>
          <w:p w14:paraId="6A7B29B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0-21分</w:t>
            </w:r>
          </w:p>
        </w:tc>
        <w:tc>
          <w:tcPr>
            <w:tcW w:w="1303" w:type="dxa"/>
            <w:noWrap w:val="0"/>
            <w:vAlign w:val="center"/>
          </w:tcPr>
          <w:p w14:paraId="3AB5BBD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37829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8" w:hRule="atLeast"/>
        </w:trPr>
        <w:tc>
          <w:tcPr>
            <w:tcW w:w="690" w:type="dxa"/>
            <w:noWrap w:val="0"/>
            <w:vAlign w:val="center"/>
          </w:tcPr>
          <w:p w14:paraId="2CFF98E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212" w:type="dxa"/>
            <w:noWrap w:val="0"/>
            <w:vAlign w:val="center"/>
          </w:tcPr>
          <w:p w14:paraId="42AAE47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商务部分</w:t>
            </w:r>
          </w:p>
        </w:tc>
        <w:tc>
          <w:tcPr>
            <w:tcW w:w="5369" w:type="dxa"/>
            <w:noWrap w:val="0"/>
            <w:vAlign w:val="center"/>
          </w:tcPr>
          <w:p w14:paraId="43F42A6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评审因素</w:t>
            </w:r>
          </w:p>
        </w:tc>
        <w:tc>
          <w:tcPr>
            <w:tcW w:w="1346" w:type="dxa"/>
            <w:noWrap w:val="0"/>
            <w:vAlign w:val="center"/>
          </w:tcPr>
          <w:p w14:paraId="2FE8D7B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商务分</w:t>
            </w:r>
            <w:r>
              <w:rPr>
                <w:rFonts w:hint="eastAsia" w:ascii="宋体" w:hAnsi="宋体" w:eastAsia="宋体" w:cs="宋体"/>
                <w:sz w:val="24"/>
                <w:szCs w:val="24"/>
              </w:rPr>
              <w:t>（满分</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tc>
        <w:tc>
          <w:tcPr>
            <w:tcW w:w="1303" w:type="dxa"/>
            <w:noWrap w:val="0"/>
            <w:vAlign w:val="center"/>
          </w:tcPr>
          <w:p w14:paraId="4AAE669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45B57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3" w:hRule="atLeast"/>
        </w:trPr>
        <w:tc>
          <w:tcPr>
            <w:tcW w:w="690" w:type="dxa"/>
            <w:noWrap w:val="0"/>
            <w:vAlign w:val="center"/>
          </w:tcPr>
          <w:p w14:paraId="36CEC9A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w:t>
            </w:r>
          </w:p>
        </w:tc>
        <w:tc>
          <w:tcPr>
            <w:tcW w:w="1212" w:type="dxa"/>
            <w:noWrap w:val="0"/>
            <w:vAlign w:val="center"/>
          </w:tcPr>
          <w:p w14:paraId="74B2930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企业资质</w:t>
            </w:r>
          </w:p>
        </w:tc>
        <w:tc>
          <w:tcPr>
            <w:tcW w:w="5369" w:type="dxa"/>
            <w:noWrap w:val="0"/>
            <w:vAlign w:val="center"/>
          </w:tcPr>
          <w:p w14:paraId="5A3F1B0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近3年每完成1家公立医院财务审计项目（需提供中标通知书/合同关键页，且审计内容涵盖财务报表、内控评价或风险评估），得4分，满分16分。</w:t>
            </w:r>
          </w:p>
          <w:p w14:paraId="29C5E52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p>
        </w:tc>
        <w:tc>
          <w:tcPr>
            <w:tcW w:w="1346" w:type="dxa"/>
            <w:noWrap w:val="0"/>
            <w:vAlign w:val="center"/>
          </w:tcPr>
          <w:p w14:paraId="3EE29F8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0-16</w:t>
            </w:r>
            <w:r>
              <w:rPr>
                <w:rFonts w:hint="eastAsia" w:ascii="宋体" w:hAnsi="宋体" w:eastAsia="宋体" w:cs="宋体"/>
                <w:sz w:val="24"/>
                <w:szCs w:val="24"/>
              </w:rPr>
              <w:t>分</w:t>
            </w:r>
          </w:p>
        </w:tc>
        <w:tc>
          <w:tcPr>
            <w:tcW w:w="1303" w:type="dxa"/>
            <w:noWrap w:val="0"/>
            <w:vAlign w:val="center"/>
          </w:tcPr>
          <w:p w14:paraId="0846873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1BB3F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7" w:hRule="atLeast"/>
        </w:trPr>
        <w:tc>
          <w:tcPr>
            <w:tcW w:w="690" w:type="dxa"/>
            <w:noWrap w:val="0"/>
            <w:vAlign w:val="center"/>
          </w:tcPr>
          <w:p w14:paraId="0CC953F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w:t>
            </w:r>
          </w:p>
        </w:tc>
        <w:tc>
          <w:tcPr>
            <w:tcW w:w="1212" w:type="dxa"/>
            <w:noWrap w:val="0"/>
            <w:vAlign w:val="center"/>
          </w:tcPr>
          <w:p w14:paraId="4D54913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企业综合评价</w:t>
            </w:r>
          </w:p>
        </w:tc>
        <w:tc>
          <w:tcPr>
            <w:tcW w:w="5369" w:type="dxa"/>
            <w:noWrap w:val="0"/>
            <w:vAlign w:val="center"/>
          </w:tcPr>
          <w:p w14:paraId="77199C9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0" w:right="0" w:rightChars="0"/>
              <w:jc w:val="left"/>
              <w:rPr>
                <w:color w:val="000000"/>
                <w:sz w:val="24"/>
                <w:szCs w:val="24"/>
              </w:rPr>
            </w:pPr>
            <w:r>
              <w:rPr>
                <w:rFonts w:hint="eastAsia"/>
                <w:color w:val="000000"/>
                <w:sz w:val="24"/>
                <w:szCs w:val="24"/>
                <w:lang w:val="en-US" w:eastAsia="zh-CN"/>
              </w:rPr>
              <w:t>1.</w:t>
            </w:r>
            <w:r>
              <w:rPr>
                <w:color w:val="000000"/>
                <w:sz w:val="24"/>
                <w:szCs w:val="24"/>
              </w:rPr>
              <w:t>在各省份注册会计师协会发布的最新年度综合评价排名中，排名</w:t>
            </w:r>
            <w:r>
              <w:rPr>
                <w:rStyle w:val="5"/>
                <w:b/>
                <w:bCs/>
                <w:color w:val="000000"/>
                <w:sz w:val="24"/>
                <w:szCs w:val="24"/>
              </w:rPr>
              <w:t>前 5 名</w:t>
            </w:r>
            <w:r>
              <w:rPr>
                <w:color w:val="000000"/>
                <w:sz w:val="24"/>
                <w:szCs w:val="24"/>
              </w:rPr>
              <w:t>的，得</w:t>
            </w:r>
            <w:r>
              <w:rPr>
                <w:rStyle w:val="5"/>
                <w:b/>
                <w:bCs/>
                <w:color w:val="000000"/>
                <w:sz w:val="24"/>
                <w:szCs w:val="24"/>
              </w:rPr>
              <w:t>10 分</w:t>
            </w:r>
            <w:r>
              <w:rPr>
                <w:color w:val="000000"/>
                <w:sz w:val="24"/>
                <w:szCs w:val="24"/>
              </w:rPr>
              <w:t>。</w:t>
            </w:r>
          </w:p>
          <w:p w14:paraId="373CB50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0" w:right="0" w:rightChars="0"/>
              <w:jc w:val="left"/>
              <w:rPr>
                <w:color w:val="000000"/>
                <w:sz w:val="24"/>
                <w:szCs w:val="24"/>
              </w:rPr>
            </w:pPr>
            <w:r>
              <w:rPr>
                <w:rFonts w:hint="eastAsia"/>
                <w:color w:val="000000"/>
                <w:sz w:val="24"/>
                <w:szCs w:val="24"/>
                <w:lang w:val="en-US" w:eastAsia="zh-CN"/>
              </w:rPr>
              <w:t>2.</w:t>
            </w:r>
            <w:r>
              <w:rPr>
                <w:color w:val="000000"/>
                <w:sz w:val="24"/>
                <w:szCs w:val="24"/>
              </w:rPr>
              <w:t>在各省份注册会计师协会发布的最新年度综合评价排名中，排名</w:t>
            </w:r>
            <w:r>
              <w:rPr>
                <w:rStyle w:val="5"/>
                <w:b/>
                <w:bCs/>
                <w:color w:val="000000"/>
                <w:sz w:val="24"/>
                <w:szCs w:val="24"/>
              </w:rPr>
              <w:t>第 6—10 名</w:t>
            </w:r>
            <w:r>
              <w:rPr>
                <w:color w:val="000000"/>
                <w:sz w:val="24"/>
                <w:szCs w:val="24"/>
              </w:rPr>
              <w:t>的，得</w:t>
            </w:r>
            <w:r>
              <w:rPr>
                <w:rStyle w:val="5"/>
                <w:b/>
                <w:bCs/>
                <w:color w:val="000000"/>
                <w:sz w:val="24"/>
                <w:szCs w:val="24"/>
              </w:rPr>
              <w:t>6 分</w:t>
            </w:r>
            <w:r>
              <w:rPr>
                <w:color w:val="000000"/>
                <w:sz w:val="24"/>
                <w:szCs w:val="24"/>
              </w:rPr>
              <w:t>。</w:t>
            </w:r>
          </w:p>
          <w:p w14:paraId="6783D91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0" w:right="0" w:rightChars="0"/>
              <w:jc w:val="left"/>
              <w:rPr>
                <w:color w:val="000000"/>
                <w:sz w:val="24"/>
                <w:szCs w:val="24"/>
              </w:rPr>
            </w:pPr>
            <w:r>
              <w:rPr>
                <w:rFonts w:hint="eastAsia"/>
                <w:color w:val="000000"/>
                <w:sz w:val="24"/>
                <w:szCs w:val="24"/>
                <w:lang w:val="en-US" w:eastAsia="zh-CN"/>
              </w:rPr>
              <w:t>3.</w:t>
            </w:r>
            <w:r>
              <w:rPr>
                <w:color w:val="000000"/>
                <w:sz w:val="24"/>
                <w:szCs w:val="24"/>
              </w:rPr>
              <w:t>在各省份注册会计师协会发布的最新年度综合评价排名中，排名</w:t>
            </w:r>
            <w:r>
              <w:rPr>
                <w:rStyle w:val="5"/>
                <w:b/>
                <w:bCs/>
                <w:color w:val="000000"/>
                <w:sz w:val="24"/>
                <w:szCs w:val="24"/>
              </w:rPr>
              <w:t>第 11 名及以后</w:t>
            </w:r>
            <w:r>
              <w:rPr>
                <w:color w:val="000000"/>
                <w:sz w:val="24"/>
                <w:szCs w:val="24"/>
              </w:rPr>
              <w:t>的，得</w:t>
            </w:r>
            <w:r>
              <w:rPr>
                <w:rStyle w:val="5"/>
                <w:b/>
                <w:bCs/>
                <w:color w:val="000000"/>
                <w:sz w:val="24"/>
                <w:szCs w:val="24"/>
              </w:rPr>
              <w:t>2 分</w:t>
            </w:r>
            <w:r>
              <w:rPr>
                <w:color w:val="000000"/>
                <w:sz w:val="24"/>
                <w:szCs w:val="24"/>
              </w:rPr>
              <w:t>。</w:t>
            </w:r>
          </w:p>
          <w:p w14:paraId="6EB5E5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本项满分 10 分。投标文件必须提供各省份注册会计师协会排名的官方文件并加盖投标人公章，不提供得 0 分</w:t>
            </w:r>
          </w:p>
          <w:p w14:paraId="701B94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p>
          <w:p w14:paraId="243E907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c>
          <w:tcPr>
            <w:tcW w:w="1346" w:type="dxa"/>
            <w:noWrap w:val="0"/>
            <w:vAlign w:val="center"/>
          </w:tcPr>
          <w:p w14:paraId="2091E6C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0-10</w:t>
            </w:r>
            <w:r>
              <w:rPr>
                <w:rFonts w:hint="eastAsia" w:ascii="宋体" w:hAnsi="宋体" w:eastAsia="宋体" w:cs="宋体"/>
                <w:sz w:val="24"/>
                <w:szCs w:val="24"/>
              </w:rPr>
              <w:t>分</w:t>
            </w:r>
          </w:p>
        </w:tc>
        <w:tc>
          <w:tcPr>
            <w:tcW w:w="1303" w:type="dxa"/>
            <w:noWrap w:val="0"/>
            <w:vAlign w:val="center"/>
          </w:tcPr>
          <w:p w14:paraId="72D9D49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2F5616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6" w:hRule="atLeast"/>
        </w:trPr>
        <w:tc>
          <w:tcPr>
            <w:tcW w:w="690" w:type="dxa"/>
            <w:noWrap w:val="0"/>
            <w:vAlign w:val="center"/>
          </w:tcPr>
          <w:p w14:paraId="4523C35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3.3</w:t>
            </w:r>
          </w:p>
        </w:tc>
        <w:tc>
          <w:tcPr>
            <w:tcW w:w="1212" w:type="dxa"/>
            <w:noWrap w:val="0"/>
            <w:vAlign w:val="center"/>
          </w:tcPr>
          <w:p w14:paraId="4E99BD2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企业人员实力</w:t>
            </w:r>
          </w:p>
        </w:tc>
        <w:tc>
          <w:tcPr>
            <w:tcW w:w="5369" w:type="dxa"/>
            <w:noWrap w:val="0"/>
            <w:vAlign w:val="center"/>
          </w:tcPr>
          <w:p w14:paraId="7FFC668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注册会计师人数达</w:t>
            </w:r>
            <w:r>
              <w:rPr>
                <w:rFonts w:hint="eastAsia" w:ascii="宋体" w:hAnsi="宋体" w:cs="宋体"/>
                <w:sz w:val="24"/>
                <w:szCs w:val="24"/>
                <w:lang w:val="en-US" w:eastAsia="zh-CN"/>
              </w:rPr>
              <w:t>2</w:t>
            </w:r>
            <w:r>
              <w:rPr>
                <w:rFonts w:hint="eastAsia" w:ascii="宋体" w:hAnsi="宋体" w:eastAsia="宋体" w:cs="宋体"/>
                <w:sz w:val="24"/>
                <w:szCs w:val="24"/>
              </w:rPr>
              <w:t>人得</w:t>
            </w:r>
            <w:r>
              <w:rPr>
                <w:rFonts w:hint="eastAsia" w:ascii="宋体" w:hAnsi="宋体" w:cs="宋体"/>
                <w:sz w:val="24"/>
                <w:szCs w:val="24"/>
                <w:lang w:val="en-US" w:eastAsia="zh-CN"/>
              </w:rPr>
              <w:t>5</w:t>
            </w:r>
            <w:bookmarkStart w:id="1" w:name="_GoBack"/>
            <w:bookmarkEnd w:id="1"/>
            <w:r>
              <w:rPr>
                <w:rFonts w:hint="eastAsia" w:ascii="宋体" w:hAnsi="宋体" w:eastAsia="宋体" w:cs="宋体"/>
                <w:sz w:val="24"/>
                <w:szCs w:val="24"/>
              </w:rPr>
              <w:t>分，每增1人加1分（上限8分）。</w:t>
            </w:r>
          </w:p>
          <w:p w14:paraId="2209E9D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 从业人员≥</w:t>
            </w:r>
            <w:r>
              <w:rPr>
                <w:rFonts w:hint="eastAsia" w:ascii="宋体" w:hAnsi="宋体" w:cs="宋体"/>
                <w:sz w:val="24"/>
                <w:szCs w:val="24"/>
                <w:lang w:val="en-US" w:eastAsia="zh-CN"/>
              </w:rPr>
              <w:t>3</w:t>
            </w:r>
            <w:r>
              <w:rPr>
                <w:rFonts w:hint="eastAsia" w:ascii="宋体" w:hAnsi="宋体" w:eastAsia="宋体" w:cs="宋体"/>
                <w:sz w:val="24"/>
                <w:szCs w:val="24"/>
              </w:rPr>
              <w:t>0人得6分；</w:t>
            </w:r>
            <w:r>
              <w:rPr>
                <w:rFonts w:hint="eastAsia" w:ascii="宋体" w:hAnsi="宋体" w:cs="宋体"/>
                <w:sz w:val="24"/>
                <w:szCs w:val="24"/>
                <w:lang w:val="en-US" w:eastAsia="zh-CN"/>
              </w:rPr>
              <w:t>1</w:t>
            </w:r>
            <w:r>
              <w:rPr>
                <w:rFonts w:hint="eastAsia" w:ascii="宋体" w:hAnsi="宋体" w:eastAsia="宋体" w:cs="宋体"/>
                <w:sz w:val="24"/>
                <w:szCs w:val="24"/>
              </w:rPr>
              <w:t>0-</w:t>
            </w:r>
            <w:r>
              <w:rPr>
                <w:rFonts w:hint="eastAsia" w:ascii="宋体" w:hAnsi="宋体" w:cs="宋体"/>
                <w:sz w:val="24"/>
                <w:szCs w:val="24"/>
                <w:lang w:val="en-US" w:eastAsia="zh-CN"/>
              </w:rPr>
              <w:t>2</w:t>
            </w:r>
            <w:r>
              <w:rPr>
                <w:rFonts w:hint="eastAsia" w:ascii="宋体" w:hAnsi="宋体" w:eastAsia="宋体" w:cs="宋体"/>
                <w:sz w:val="24"/>
                <w:szCs w:val="24"/>
              </w:rPr>
              <w:t>9人得4分；&lt;</w:t>
            </w:r>
            <w:r>
              <w:rPr>
                <w:rFonts w:hint="eastAsia" w:ascii="宋体" w:hAnsi="宋体" w:cs="宋体"/>
                <w:sz w:val="24"/>
                <w:szCs w:val="24"/>
                <w:lang w:val="en-US" w:eastAsia="zh-CN"/>
              </w:rPr>
              <w:t>1</w:t>
            </w:r>
            <w:r>
              <w:rPr>
                <w:rFonts w:hint="eastAsia" w:ascii="宋体" w:hAnsi="宋体" w:eastAsia="宋体" w:cs="宋体"/>
                <w:sz w:val="24"/>
                <w:szCs w:val="24"/>
              </w:rPr>
              <w:t>0人得</w:t>
            </w:r>
            <w:r>
              <w:rPr>
                <w:rFonts w:hint="eastAsia" w:ascii="宋体" w:hAnsi="宋体" w:cs="宋体"/>
                <w:sz w:val="24"/>
                <w:szCs w:val="24"/>
                <w:lang w:val="en-US" w:eastAsia="zh-CN"/>
              </w:rPr>
              <w:t>2</w:t>
            </w:r>
            <w:r>
              <w:rPr>
                <w:rFonts w:hint="eastAsia" w:ascii="宋体" w:hAnsi="宋体" w:eastAsia="宋体" w:cs="宋体"/>
                <w:sz w:val="24"/>
                <w:szCs w:val="24"/>
              </w:rPr>
              <w:t>分（上限</w:t>
            </w:r>
            <w:r>
              <w:rPr>
                <w:rFonts w:hint="eastAsia" w:ascii="宋体" w:hAnsi="宋体" w:cs="宋体"/>
                <w:sz w:val="24"/>
                <w:szCs w:val="24"/>
                <w:lang w:val="en-US" w:eastAsia="zh-CN"/>
              </w:rPr>
              <w:t>6</w:t>
            </w:r>
            <w:r>
              <w:rPr>
                <w:rFonts w:hint="eastAsia" w:ascii="宋体" w:hAnsi="宋体" w:eastAsia="宋体" w:cs="宋体"/>
                <w:sz w:val="24"/>
                <w:szCs w:val="24"/>
              </w:rPr>
              <w:t>分）。</w:t>
            </w:r>
          </w:p>
          <w:p w14:paraId="4FA4FCF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3. 项目负责人（上限</w:t>
            </w:r>
            <w:r>
              <w:rPr>
                <w:rFonts w:hint="eastAsia" w:ascii="宋体" w:hAnsi="宋体" w:cs="宋体"/>
                <w:sz w:val="24"/>
                <w:szCs w:val="24"/>
                <w:lang w:val="en-US" w:eastAsia="zh-CN"/>
              </w:rPr>
              <w:t>5</w:t>
            </w:r>
            <w:r>
              <w:rPr>
                <w:rFonts w:hint="eastAsia" w:ascii="宋体" w:hAnsi="宋体" w:eastAsia="宋体" w:cs="宋体"/>
                <w:sz w:val="24"/>
                <w:szCs w:val="24"/>
              </w:rPr>
              <w:t>分）：</w:t>
            </w:r>
          </w:p>
          <w:p w14:paraId="5E2BED2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高级会计师+5年医疗审计经验，得5分；</w:t>
            </w:r>
          </w:p>
          <w:p w14:paraId="692DFF0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- 5年医疗审计经验，得3分；</w:t>
            </w:r>
          </w:p>
          <w:p w14:paraId="3724A0A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其他不得分。</w:t>
            </w:r>
          </w:p>
        </w:tc>
        <w:tc>
          <w:tcPr>
            <w:tcW w:w="1346" w:type="dxa"/>
            <w:noWrap w:val="0"/>
            <w:vAlign w:val="center"/>
          </w:tcPr>
          <w:p w14:paraId="5461A69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0-19</w:t>
            </w:r>
            <w:r>
              <w:rPr>
                <w:rFonts w:hint="eastAsia" w:ascii="宋体" w:hAnsi="宋体" w:eastAsia="宋体" w:cs="宋体"/>
                <w:sz w:val="24"/>
                <w:szCs w:val="24"/>
              </w:rPr>
              <w:t>分</w:t>
            </w:r>
          </w:p>
        </w:tc>
        <w:tc>
          <w:tcPr>
            <w:tcW w:w="1303" w:type="dxa"/>
            <w:noWrap w:val="0"/>
            <w:vAlign w:val="center"/>
          </w:tcPr>
          <w:p w14:paraId="71BE659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55A69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3" w:hRule="atLeast"/>
        </w:trPr>
        <w:tc>
          <w:tcPr>
            <w:tcW w:w="7271" w:type="dxa"/>
            <w:gridSpan w:val="3"/>
            <w:noWrap w:val="0"/>
            <w:vAlign w:val="center"/>
          </w:tcPr>
          <w:p w14:paraId="383B703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总得分</w:t>
            </w:r>
            <w:r>
              <w:rPr>
                <w:rFonts w:hint="eastAsia" w:ascii="宋体" w:hAnsi="宋体" w:eastAsia="宋体" w:cs="宋体"/>
                <w:sz w:val="24"/>
                <w:szCs w:val="24"/>
                <w:lang w:val="en-US" w:eastAsia="zh-CN"/>
              </w:rPr>
              <w:t>100分</w:t>
            </w:r>
            <w:r>
              <w:rPr>
                <w:rFonts w:hint="eastAsia" w:ascii="宋体" w:hAnsi="宋体" w:eastAsia="宋体" w:cs="宋体"/>
                <w:sz w:val="24"/>
                <w:szCs w:val="24"/>
              </w:rPr>
              <w:t>（100分）＝1＋2＋3</w:t>
            </w:r>
          </w:p>
        </w:tc>
        <w:tc>
          <w:tcPr>
            <w:tcW w:w="1346" w:type="dxa"/>
            <w:noWrap w:val="0"/>
            <w:vAlign w:val="center"/>
          </w:tcPr>
          <w:p w14:paraId="4234FBA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总分100分</w:t>
            </w:r>
          </w:p>
        </w:tc>
        <w:tc>
          <w:tcPr>
            <w:tcW w:w="1303" w:type="dxa"/>
            <w:noWrap w:val="0"/>
            <w:vAlign w:val="center"/>
          </w:tcPr>
          <w:p w14:paraId="72B37AB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bl>
    <w:p w14:paraId="6525515A"/>
    <w:sectPr>
      <w:pgSz w:w="11906" w:h="16838"/>
      <w:pgMar w:top="567" w:right="1247" w:bottom="56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9470D9"/>
    <w:multiLevelType w:val="singleLevel"/>
    <w:tmpl w:val="6A9470D9"/>
    <w:lvl w:ilvl="0" w:tentative="0">
      <w:start w:val="1"/>
      <w:numFmt w:val="decimal"/>
      <w:pStyle w:val="2"/>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B07AAF"/>
    <w:rsid w:val="019E47F6"/>
    <w:rsid w:val="04307683"/>
    <w:rsid w:val="05EC6B48"/>
    <w:rsid w:val="0A3F2283"/>
    <w:rsid w:val="2DB07AAF"/>
    <w:rsid w:val="43C81038"/>
    <w:rsid w:val="4CF21C66"/>
    <w:rsid w:val="5A1E4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List Number"/>
    <w:basedOn w:val="1"/>
    <w:qFormat/>
    <w:uiPriority w:val="0"/>
    <w:pPr>
      <w:numPr>
        <w:ilvl w:val="0"/>
        <w:numId w:val="1"/>
      </w:numPr>
    </w:p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923</Words>
  <Characters>1018</Characters>
  <Lines>0</Lines>
  <Paragraphs>0</Paragraphs>
  <TotalTime>10</TotalTime>
  <ScaleCrop>false</ScaleCrop>
  <LinksUpToDate>false</LinksUpToDate>
  <CharactersWithSpaces>1061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2026-03-18T07:59:00Z</dcterms:created>
  <dc:creator>无心人</dc:creator>
  <cp:lastModifiedBy>无心人</cp:lastModifiedBy>
  <dcterms:modified xsi:type="dcterms:W3CDTF">2026-03-31T00:16:42Z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D0D286D9735944E8B4D24FA9C6BDEC15_11</vt:lpwstr>
  </property>
  <property fmtid="{D5CDD505-2E9C-101B-9397-08002B2CF9AE}" pid="4" name="KSOTemplateDocerSaveRecord">
    <vt:lpwstr>eyJoZGlkIjoiYjI0M2Y2ZWVhYjQ0YmI4NjQ4ZjNhYzhmYjE2MjllMTkiLCJ1c2VySWQiOiIzNDkxMzkxODgifQ==</vt:lpwstr>
  </property>
</Properties>
</file>