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40" w:lineRule="exact"/>
        <w:contextualSpacing/>
        <w:rPr>
          <w:rFonts w:hint="eastAsia"/>
        </w:rPr>
      </w:pPr>
      <w:bookmarkStart w:id="32" w:name="_GoBack"/>
      <w:r>
        <w:rPr>
          <w:rFonts w:hint="eastAsia" w:ascii="仿宋_GB2312" w:hAnsi="方正仿宋_GB2312" w:eastAsia="仿宋_GB2312" w:cs="方正仿宋_GB2312"/>
          <w:color w:val="000000" w:themeColor="text1"/>
          <w:kern w:val="0"/>
          <w:sz w:val="24"/>
          <w:szCs w:val="24"/>
          <w:lang w:val="en-US" w:eastAsia="zh-CN"/>
          <w14:textFill>
            <w14:solidFill>
              <w14:schemeClr w14:val="tx1"/>
            </w14:solidFill>
          </w14:textFill>
        </w:rPr>
        <w:t>附件二：</w:t>
      </w:r>
      <w:r>
        <w:rPr>
          <w:rFonts w:hint="eastAsia" w:ascii="仿宋_GB2312" w:hAnsi="方正仿宋_GB2312" w:eastAsia="仿宋_GB2312" w:cs="方正仿宋_GB2312"/>
          <w:color w:val="000000" w:themeColor="text1"/>
          <w:kern w:val="0"/>
          <w:sz w:val="24"/>
          <w:szCs w:val="24"/>
          <w14:textFill>
            <w14:solidFill>
              <w14:schemeClr w14:val="tx1"/>
            </w14:solidFill>
          </w14:textFill>
        </w:rPr>
        <w:t>项目参数偏离表格式 </w:t>
      </w:r>
    </w:p>
    <w:bookmarkEnd w:id="32"/>
    <w:p>
      <w:pPr>
        <w:snapToGrid w:val="0"/>
        <w:spacing w:before="50" w:after="50"/>
        <w:jc w:val="both"/>
        <w:rPr>
          <w:rFonts w:hint="eastAsia" w:ascii="仿宋_GB2312" w:hAnsi="方正小标宋简体" w:eastAsia="仿宋_GB2312" w:cs="方正小标宋简体"/>
          <w:b/>
          <w:sz w:val="32"/>
          <w:szCs w:val="32"/>
        </w:rPr>
      </w:pPr>
    </w:p>
    <w:p>
      <w:pPr>
        <w:snapToGrid w:val="0"/>
        <w:spacing w:before="50" w:after="50"/>
        <w:jc w:val="center"/>
        <w:rPr>
          <w:rFonts w:hint="eastAsia" w:ascii="仿宋_GB2312" w:hAnsi="方正小标宋简体" w:eastAsia="仿宋_GB2312" w:cs="方正小标宋简体"/>
          <w:b/>
          <w:sz w:val="32"/>
          <w:szCs w:val="32"/>
          <w:lang w:val="zh-TW"/>
        </w:rPr>
      </w:pPr>
      <w:r>
        <w:rPr>
          <w:rFonts w:hint="eastAsia" w:ascii="仿宋_GB2312" w:hAnsi="方正小标宋简体" w:eastAsia="仿宋_GB2312" w:cs="方正小标宋简体"/>
          <w:b/>
          <w:sz w:val="32"/>
          <w:szCs w:val="32"/>
        </w:rPr>
        <w:t>项目</w:t>
      </w:r>
      <w:r>
        <w:rPr>
          <w:rFonts w:hint="eastAsia" w:ascii="仿宋_GB2312" w:hAnsi="方正小标宋简体" w:eastAsia="仿宋_GB2312" w:cs="方正小标宋简体"/>
          <w:b/>
          <w:sz w:val="32"/>
          <w:szCs w:val="32"/>
          <w:lang w:val="zh-TW"/>
        </w:rPr>
        <w:t>参数偏离表</w:t>
      </w:r>
    </w:p>
    <w:p>
      <w:pPr>
        <w:pStyle w:val="2"/>
        <w:rPr>
          <w:rFonts w:hint="eastAsia" w:ascii="仿宋_GB2312" w:hAnsi="方正小标宋简体" w:eastAsia="仿宋_GB2312" w:cs="方正小标宋简体"/>
          <w:b/>
          <w:sz w:val="32"/>
          <w:szCs w:val="32"/>
          <w:lang w:val="zh-TW"/>
        </w:rPr>
      </w:pPr>
    </w:p>
    <w:tbl>
      <w:tblPr>
        <w:tblStyle w:val="6"/>
        <w:tblW w:w="1000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0"/>
        <w:gridCol w:w="3948"/>
        <w:gridCol w:w="3948"/>
        <w:gridCol w:w="14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66" w:hRule="atLeast"/>
          <w:jc w:val="center"/>
        </w:trPr>
        <w:tc>
          <w:tcPr>
            <w:tcW w:w="640" w:type="dxa"/>
            <w:vAlign w:val="center"/>
          </w:tcPr>
          <w:p>
            <w:pPr>
              <w:jc w:val="center"/>
              <w:rPr>
                <w:rFonts w:hint="eastAsia" w:ascii="仿宋_GB2312" w:hAnsi="仿宋_GB2312" w:eastAsia="仿宋_GB2312" w:cs="仿宋_GB2312"/>
                <w:b/>
                <w:sz w:val="24"/>
              </w:rPr>
            </w:pPr>
            <w:bookmarkStart w:id="0" w:name="_Toc254970729"/>
            <w:bookmarkStart w:id="1" w:name="_Toc173211900"/>
            <w:bookmarkStart w:id="2" w:name="_Toc254970588"/>
            <w:bookmarkStart w:id="3" w:name="_Toc173066401"/>
            <w:bookmarkStart w:id="4" w:name="_Toc21728"/>
            <w:r>
              <w:rPr>
                <w:rFonts w:hint="eastAsia" w:ascii="仿宋_GB2312" w:hAnsi="仿宋_GB2312" w:eastAsia="仿宋_GB2312" w:cs="仿宋_GB2312"/>
                <w:b/>
                <w:sz w:val="24"/>
              </w:rPr>
              <w:t>序号</w:t>
            </w:r>
            <w:bookmarkEnd w:id="0"/>
            <w:bookmarkEnd w:id="1"/>
            <w:bookmarkEnd w:id="2"/>
            <w:bookmarkEnd w:id="3"/>
            <w:bookmarkEnd w:id="4"/>
          </w:p>
        </w:tc>
        <w:tc>
          <w:tcPr>
            <w:tcW w:w="3948"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基本要求及其他说明</w:t>
            </w:r>
          </w:p>
        </w:tc>
        <w:tc>
          <w:tcPr>
            <w:tcW w:w="3948" w:type="dxa"/>
            <w:vAlign w:val="center"/>
          </w:tcPr>
          <w:p>
            <w:pPr>
              <w:jc w:val="center"/>
              <w:rPr>
                <w:rFonts w:hint="eastAsia" w:ascii="仿宋_GB2312" w:hAnsi="仿宋_GB2312" w:eastAsia="仿宋_GB2312" w:cs="仿宋_GB2312"/>
                <w:b/>
                <w:sz w:val="24"/>
              </w:rPr>
            </w:pPr>
            <w:bookmarkStart w:id="5" w:name="_Toc28256"/>
            <w:bookmarkStart w:id="6" w:name="_Toc173211902"/>
            <w:bookmarkStart w:id="7" w:name="_Toc173066403"/>
            <w:bookmarkStart w:id="8" w:name="_Toc254970590"/>
            <w:bookmarkStart w:id="9" w:name="_Toc254970731"/>
            <w:r>
              <w:rPr>
                <w:rFonts w:hint="eastAsia" w:ascii="仿宋_GB2312" w:hAnsi="仿宋_GB2312" w:eastAsia="仿宋_GB2312" w:cs="仿宋_GB2312"/>
                <w:b/>
                <w:sz w:val="24"/>
              </w:rPr>
              <w:t>具体响应</w:t>
            </w:r>
            <w:bookmarkEnd w:id="5"/>
            <w:bookmarkEnd w:id="6"/>
            <w:bookmarkEnd w:id="7"/>
            <w:bookmarkEnd w:id="8"/>
            <w:bookmarkEnd w:id="9"/>
          </w:p>
        </w:tc>
        <w:tc>
          <w:tcPr>
            <w:tcW w:w="1473" w:type="dxa"/>
            <w:vAlign w:val="center"/>
          </w:tcPr>
          <w:p>
            <w:pPr>
              <w:jc w:val="center"/>
              <w:rPr>
                <w:rFonts w:hint="eastAsia" w:ascii="仿宋_GB2312" w:hAnsi="仿宋_GB2312" w:eastAsia="仿宋_GB2312" w:cs="仿宋_GB2312"/>
                <w:b/>
                <w:sz w:val="24"/>
              </w:rPr>
            </w:pPr>
            <w:bookmarkStart w:id="10" w:name="_Toc254970732"/>
            <w:bookmarkStart w:id="11" w:name="_Toc173211903"/>
            <w:bookmarkStart w:id="12" w:name="_Toc23211"/>
            <w:bookmarkStart w:id="13" w:name="_Toc254970591"/>
            <w:bookmarkStart w:id="14" w:name="_Toc173066404"/>
            <w:r>
              <w:rPr>
                <w:rFonts w:hint="eastAsia" w:ascii="仿宋_GB2312" w:hAnsi="仿宋_GB2312" w:eastAsia="仿宋_GB2312" w:cs="仿宋_GB2312"/>
                <w:b/>
                <w:sz w:val="24"/>
              </w:rPr>
              <w:t>响应/偏离</w:t>
            </w:r>
            <w:bookmarkEnd w:id="10"/>
            <w:bookmarkEnd w:id="11"/>
            <w:bookmarkEnd w:id="12"/>
            <w:bookmarkEnd w:id="13"/>
            <w:bookmarkEnd w:id="14"/>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jc w:val="center"/>
        </w:trPr>
        <w:tc>
          <w:tcPr>
            <w:tcW w:w="640" w:type="dxa"/>
            <w:vAlign w:val="center"/>
          </w:tcPr>
          <w:p>
            <w:pPr>
              <w:adjustRightInd w:val="0"/>
              <w:snapToGrid w:val="0"/>
              <w:spacing w:line="400" w:lineRule="exact"/>
              <w:jc w:val="center"/>
              <w:outlineLvl w:val="0"/>
              <w:rPr>
                <w:rFonts w:hint="eastAsia" w:ascii="仿宋_GB2312" w:hAnsi="仿宋" w:eastAsia="仿宋_GB2312" w:cs="仿宋"/>
                <w:sz w:val="24"/>
              </w:rPr>
            </w:pPr>
            <w:bookmarkStart w:id="15" w:name="_Toc173066406"/>
            <w:bookmarkStart w:id="16" w:name="_Toc254970593"/>
            <w:bookmarkStart w:id="17" w:name="_Toc14953"/>
            <w:bookmarkStart w:id="18" w:name="_Toc254970734"/>
            <w:bookmarkStart w:id="19" w:name="_Toc173211905"/>
            <w:r>
              <w:rPr>
                <w:rFonts w:hint="eastAsia" w:ascii="仿宋_GB2312" w:hAnsi="仿宋" w:eastAsia="仿宋_GB2312" w:cs="仿宋"/>
                <w:sz w:val="24"/>
              </w:rPr>
              <w:t>1</w:t>
            </w:r>
            <w:bookmarkEnd w:id="15"/>
            <w:bookmarkEnd w:id="16"/>
            <w:bookmarkEnd w:id="17"/>
            <w:bookmarkEnd w:id="18"/>
            <w:bookmarkEnd w:id="19"/>
          </w:p>
        </w:tc>
        <w:tc>
          <w:tcPr>
            <w:tcW w:w="3948" w:type="dxa"/>
            <w:vAlign w:val="center"/>
          </w:tcPr>
          <w:p>
            <w:pPr>
              <w:adjustRightInd w:val="0"/>
              <w:snapToGrid w:val="0"/>
              <w:spacing w:line="400" w:lineRule="exact"/>
              <w:jc w:val="left"/>
              <w:rPr>
                <w:rFonts w:hint="eastAsia" w:ascii="仿宋_GB2312" w:hAnsi="仿宋" w:eastAsia="仿宋_GB2312" w:cs="仿宋"/>
                <w:sz w:val="24"/>
              </w:rPr>
            </w:pPr>
            <w:r>
              <w:rPr>
                <w:rFonts w:hint="eastAsia" w:ascii="仿宋_GB2312" w:hAnsi="仿宋" w:eastAsia="仿宋_GB2312" w:cs="仿宋"/>
                <w:sz w:val="24"/>
              </w:rPr>
              <w:t>（一）机构要求</w:t>
            </w:r>
          </w:p>
          <w:p>
            <w:pPr>
              <w:adjustRightInd w:val="0"/>
              <w:snapToGrid w:val="0"/>
              <w:spacing w:line="400" w:lineRule="exact"/>
              <w:jc w:val="left"/>
              <w:rPr>
                <w:rFonts w:hint="eastAsia" w:ascii="仿宋_GB2312" w:hAnsi="仿宋" w:eastAsia="仿宋_GB2312" w:cs="仿宋"/>
                <w:sz w:val="24"/>
              </w:rPr>
            </w:pPr>
            <w:r>
              <w:rPr>
                <w:rFonts w:hint="eastAsia" w:ascii="仿宋_GB2312" w:hAnsi="仿宋" w:eastAsia="仿宋_GB2312" w:cs="仿宋"/>
                <w:sz w:val="24"/>
              </w:rPr>
              <w:t>1.有实体办公机构、有符合开展“互联网+护理服务”工作的信息平台。</w:t>
            </w:r>
          </w:p>
        </w:tc>
        <w:tc>
          <w:tcPr>
            <w:tcW w:w="3948" w:type="dxa"/>
            <w:vAlign w:val="center"/>
          </w:tcPr>
          <w:p>
            <w:pPr>
              <w:adjustRightInd w:val="0"/>
              <w:snapToGrid w:val="0"/>
              <w:spacing w:line="400" w:lineRule="exact"/>
              <w:jc w:val="center"/>
              <w:rPr>
                <w:rFonts w:hint="eastAsia" w:ascii="仿宋_GB2312" w:hAnsi="仿宋" w:eastAsia="仿宋_GB2312" w:cs="仿宋"/>
                <w:sz w:val="24"/>
              </w:rPr>
            </w:pPr>
          </w:p>
        </w:tc>
        <w:tc>
          <w:tcPr>
            <w:tcW w:w="1473" w:type="dxa"/>
            <w:vAlign w:val="center"/>
          </w:tcPr>
          <w:p>
            <w:pPr>
              <w:adjustRightInd w:val="0"/>
              <w:snapToGrid w:val="0"/>
              <w:spacing w:line="400" w:lineRule="exact"/>
              <w:jc w:val="center"/>
              <w:rPr>
                <w:rFonts w:hint="eastAsia"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40" w:type="dxa"/>
            <w:vAlign w:val="center"/>
          </w:tcPr>
          <w:p>
            <w:pPr>
              <w:adjustRightInd w:val="0"/>
              <w:snapToGrid w:val="0"/>
              <w:spacing w:line="400" w:lineRule="exact"/>
              <w:jc w:val="center"/>
              <w:outlineLvl w:val="0"/>
              <w:rPr>
                <w:rFonts w:hint="eastAsia" w:ascii="仿宋_GB2312" w:hAnsi="仿宋" w:eastAsia="仿宋_GB2312" w:cs="仿宋"/>
                <w:sz w:val="24"/>
              </w:rPr>
            </w:pPr>
            <w:bookmarkStart w:id="20" w:name="_Toc8521"/>
            <w:bookmarkStart w:id="21" w:name="_Toc254970735"/>
            <w:bookmarkStart w:id="22" w:name="_Toc254970594"/>
            <w:bookmarkStart w:id="23" w:name="_Toc173211906"/>
            <w:bookmarkStart w:id="24" w:name="_Toc173066407"/>
            <w:r>
              <w:rPr>
                <w:rFonts w:hint="eastAsia" w:ascii="仿宋_GB2312" w:hAnsi="仿宋" w:eastAsia="仿宋_GB2312" w:cs="仿宋"/>
                <w:sz w:val="24"/>
              </w:rPr>
              <w:t>2</w:t>
            </w:r>
            <w:bookmarkEnd w:id="20"/>
            <w:bookmarkEnd w:id="21"/>
            <w:bookmarkEnd w:id="22"/>
            <w:bookmarkEnd w:id="23"/>
            <w:bookmarkEnd w:id="24"/>
          </w:p>
        </w:tc>
        <w:tc>
          <w:tcPr>
            <w:tcW w:w="3948" w:type="dxa"/>
            <w:vAlign w:val="center"/>
          </w:tcPr>
          <w:p>
            <w:pPr>
              <w:adjustRightInd w:val="0"/>
              <w:snapToGrid w:val="0"/>
              <w:spacing w:line="400" w:lineRule="exact"/>
              <w:jc w:val="left"/>
              <w:rPr>
                <w:rFonts w:hint="eastAsia" w:ascii="仿宋_GB2312" w:hAnsi="仿宋" w:eastAsia="仿宋_GB2312" w:cs="仿宋"/>
                <w:sz w:val="24"/>
              </w:rPr>
            </w:pPr>
            <w:r>
              <w:rPr>
                <w:rFonts w:hint="eastAsia" w:ascii="仿宋_GB2312" w:hAnsi="仿宋" w:eastAsia="仿宋_GB2312" w:cs="仿宋"/>
                <w:sz w:val="24"/>
              </w:rPr>
              <w:t>2.遵守国家及地方的法律法规，具有良好的职业道德和社会信誉，有较高的专业素质，近三年来没有违法违规执业行为，且未被行政主管部门通报批评和处罚。</w:t>
            </w:r>
          </w:p>
        </w:tc>
        <w:tc>
          <w:tcPr>
            <w:tcW w:w="3948" w:type="dxa"/>
            <w:vAlign w:val="center"/>
          </w:tcPr>
          <w:p>
            <w:pPr>
              <w:adjustRightInd w:val="0"/>
              <w:snapToGrid w:val="0"/>
              <w:spacing w:line="400" w:lineRule="exact"/>
              <w:jc w:val="center"/>
              <w:rPr>
                <w:rFonts w:hint="eastAsia" w:ascii="仿宋_GB2312" w:hAnsi="仿宋" w:eastAsia="仿宋_GB2312" w:cs="仿宋"/>
                <w:sz w:val="24"/>
              </w:rPr>
            </w:pPr>
          </w:p>
        </w:tc>
        <w:tc>
          <w:tcPr>
            <w:tcW w:w="1473" w:type="dxa"/>
            <w:vAlign w:val="center"/>
          </w:tcPr>
          <w:p>
            <w:pPr>
              <w:adjustRightInd w:val="0"/>
              <w:snapToGrid w:val="0"/>
              <w:spacing w:line="400" w:lineRule="exact"/>
              <w:jc w:val="center"/>
              <w:rPr>
                <w:rFonts w:hint="eastAsia"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40" w:type="dxa"/>
            <w:vAlign w:val="center"/>
          </w:tcPr>
          <w:p>
            <w:pPr>
              <w:adjustRightInd w:val="0"/>
              <w:snapToGrid w:val="0"/>
              <w:spacing w:line="400" w:lineRule="exact"/>
              <w:jc w:val="center"/>
              <w:outlineLvl w:val="0"/>
              <w:rPr>
                <w:rFonts w:hint="eastAsia" w:ascii="仿宋_GB2312" w:hAnsi="仿宋" w:eastAsia="仿宋_GB2312" w:cs="仿宋"/>
                <w:sz w:val="24"/>
              </w:rPr>
            </w:pPr>
            <w:bookmarkStart w:id="25" w:name="_Toc254970595"/>
            <w:bookmarkStart w:id="26" w:name="_Toc173211907"/>
            <w:bookmarkStart w:id="27" w:name="_Toc10830"/>
            <w:bookmarkStart w:id="28" w:name="_Toc254970736"/>
            <w:bookmarkStart w:id="29" w:name="_Toc173066408"/>
            <w:r>
              <w:rPr>
                <w:rFonts w:hint="eastAsia" w:ascii="仿宋_GB2312" w:hAnsi="仿宋" w:eastAsia="仿宋_GB2312" w:cs="仿宋"/>
                <w:sz w:val="24"/>
              </w:rPr>
              <w:t>3</w:t>
            </w:r>
            <w:bookmarkEnd w:id="25"/>
            <w:bookmarkEnd w:id="26"/>
            <w:bookmarkEnd w:id="27"/>
            <w:bookmarkEnd w:id="28"/>
            <w:bookmarkEnd w:id="29"/>
          </w:p>
        </w:tc>
        <w:tc>
          <w:tcPr>
            <w:tcW w:w="3948" w:type="dxa"/>
            <w:vAlign w:val="center"/>
          </w:tcPr>
          <w:p>
            <w:pPr>
              <w:adjustRightInd w:val="0"/>
              <w:snapToGrid w:val="0"/>
              <w:spacing w:line="400" w:lineRule="exact"/>
              <w:jc w:val="left"/>
              <w:rPr>
                <w:rFonts w:hint="eastAsia" w:ascii="仿宋_GB2312" w:hAnsi="仿宋" w:eastAsia="仿宋_GB2312" w:cs="仿宋"/>
                <w:sz w:val="24"/>
              </w:rPr>
            </w:pPr>
            <w:r>
              <w:rPr>
                <w:rFonts w:hint="eastAsia" w:ascii="仿宋_GB2312" w:hAnsi="仿宋" w:eastAsia="仿宋_GB2312" w:cs="仿宋"/>
                <w:sz w:val="24"/>
              </w:rPr>
              <w:t>（二）项目参数</w:t>
            </w:r>
          </w:p>
          <w:p>
            <w:pPr>
              <w:adjustRightInd w:val="0"/>
              <w:snapToGrid w:val="0"/>
              <w:spacing w:line="400" w:lineRule="exact"/>
              <w:jc w:val="left"/>
              <w:rPr>
                <w:rFonts w:hint="eastAsia" w:ascii="仿宋_GB2312" w:hAnsi="仿宋" w:eastAsia="仿宋_GB2312" w:cs="仿宋"/>
                <w:sz w:val="24"/>
              </w:rPr>
            </w:pPr>
            <w:r>
              <w:rPr>
                <w:rFonts w:hint="eastAsia" w:ascii="仿宋_GB2312" w:hAnsi="仿宋" w:eastAsia="仿宋_GB2312" w:cs="仿宋"/>
                <w:sz w:val="24"/>
              </w:rPr>
              <w:t>1.有实体医疗机构，具备家庭，社区巡查功能信息平台，信息平台依托实体医疗机构，可独立开展“互联网+护理服务”。</w:t>
            </w:r>
          </w:p>
        </w:tc>
        <w:tc>
          <w:tcPr>
            <w:tcW w:w="3948" w:type="dxa"/>
            <w:vAlign w:val="center"/>
          </w:tcPr>
          <w:p>
            <w:pPr>
              <w:adjustRightInd w:val="0"/>
              <w:snapToGrid w:val="0"/>
              <w:spacing w:line="400" w:lineRule="exact"/>
              <w:jc w:val="center"/>
              <w:rPr>
                <w:rFonts w:hint="eastAsia" w:ascii="仿宋_GB2312" w:hAnsi="仿宋" w:eastAsia="仿宋_GB2312" w:cs="仿宋"/>
                <w:sz w:val="24"/>
              </w:rPr>
            </w:pPr>
          </w:p>
        </w:tc>
        <w:tc>
          <w:tcPr>
            <w:tcW w:w="1473" w:type="dxa"/>
            <w:vAlign w:val="center"/>
          </w:tcPr>
          <w:p>
            <w:pPr>
              <w:adjustRightInd w:val="0"/>
              <w:snapToGrid w:val="0"/>
              <w:spacing w:line="400" w:lineRule="exact"/>
              <w:jc w:val="center"/>
              <w:rPr>
                <w:rFonts w:hint="eastAsia"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40" w:type="dxa"/>
            <w:vAlign w:val="center"/>
          </w:tcPr>
          <w:p>
            <w:pPr>
              <w:adjustRightInd w:val="0"/>
              <w:snapToGrid w:val="0"/>
              <w:spacing w:line="400" w:lineRule="exact"/>
              <w:jc w:val="center"/>
              <w:outlineLvl w:val="0"/>
              <w:rPr>
                <w:rFonts w:hint="eastAsia" w:ascii="仿宋_GB2312" w:hAnsi="仿宋" w:eastAsia="仿宋_GB2312" w:cs="仿宋"/>
                <w:sz w:val="24"/>
              </w:rPr>
            </w:pPr>
            <w:bookmarkStart w:id="30" w:name="_Toc32198"/>
            <w:r>
              <w:rPr>
                <w:rFonts w:hint="eastAsia" w:ascii="仿宋_GB2312" w:hAnsi="仿宋" w:eastAsia="仿宋_GB2312" w:cs="仿宋"/>
                <w:sz w:val="24"/>
              </w:rPr>
              <w:t>4</w:t>
            </w:r>
            <w:bookmarkEnd w:id="30"/>
          </w:p>
        </w:tc>
        <w:tc>
          <w:tcPr>
            <w:tcW w:w="3948" w:type="dxa"/>
            <w:vAlign w:val="center"/>
          </w:tcPr>
          <w:p>
            <w:pPr>
              <w:pStyle w:val="5"/>
              <w:widowControl/>
              <w:wordWrap w:val="0"/>
              <w:spacing w:before="60" w:beforeAutospacing="0" w:afterAutospacing="0" w:line="360" w:lineRule="exact"/>
              <w:rPr>
                <w:rFonts w:hint="eastAsia" w:ascii="仿宋_GB2312" w:hAnsi="仿宋" w:eastAsia="仿宋_GB2312" w:cs="仿宋"/>
                <w:color w:val="000000" w:themeColor="text1"/>
                <w14:textFill>
                  <w14:solidFill>
                    <w14:schemeClr w14:val="tx1"/>
                  </w14:solidFill>
                </w14:textFill>
              </w:rPr>
            </w:pPr>
            <w:r>
              <w:rPr>
                <w:rFonts w:hint="eastAsia" w:ascii="仿宋_GB2312" w:hAnsi="仿宋" w:eastAsia="仿宋_GB2312" w:cs="仿宋"/>
                <w:color w:val="000000" w:themeColor="text1"/>
                <w14:textFill>
                  <w14:solidFill>
                    <w14:schemeClr w14:val="tx1"/>
                  </w14:solidFill>
                </w14:textFill>
              </w:rPr>
              <w:t>2.机构提供“互联网+护理服务”。</w:t>
            </w:r>
          </w:p>
          <w:p>
            <w:pPr>
              <w:pStyle w:val="5"/>
              <w:widowControl/>
              <w:wordWrap w:val="0"/>
              <w:spacing w:before="60" w:beforeAutospacing="0" w:afterAutospacing="0" w:line="360" w:lineRule="exact"/>
              <w:rPr>
                <w:rFonts w:hint="eastAsia" w:ascii="仿宋_GB2312" w:hAnsi="仿宋" w:eastAsia="仿宋_GB2312" w:cs="仿宋"/>
              </w:rPr>
            </w:pPr>
            <w:r>
              <w:rPr>
                <w:rFonts w:hint="eastAsia" w:ascii="仿宋_GB2312" w:hAnsi="仿宋" w:eastAsia="仿宋_GB2312" w:cs="仿宋"/>
                <w:color w:val="000000" w:themeColor="text1"/>
                <w14:textFill>
                  <w14:solidFill>
                    <w14:schemeClr w14:val="tx1"/>
                  </w14:solidFill>
                </w14:textFill>
              </w:rPr>
              <w:t>已登记家庭病床、巡诊、社区护理等服务项目，已开展家庭病床服务、护理巡诊服务、护理服务已延伸至社区和家庭(含出院后延续护理服务)。</w:t>
            </w:r>
          </w:p>
        </w:tc>
        <w:tc>
          <w:tcPr>
            <w:tcW w:w="3948" w:type="dxa"/>
            <w:vAlign w:val="center"/>
          </w:tcPr>
          <w:p>
            <w:pPr>
              <w:adjustRightInd w:val="0"/>
              <w:snapToGrid w:val="0"/>
              <w:spacing w:line="400" w:lineRule="exact"/>
              <w:jc w:val="center"/>
              <w:rPr>
                <w:rFonts w:hint="eastAsia" w:ascii="仿宋_GB2312" w:hAnsi="仿宋" w:eastAsia="仿宋_GB2312" w:cs="仿宋"/>
                <w:sz w:val="24"/>
              </w:rPr>
            </w:pPr>
          </w:p>
        </w:tc>
        <w:tc>
          <w:tcPr>
            <w:tcW w:w="1473" w:type="dxa"/>
            <w:vAlign w:val="center"/>
          </w:tcPr>
          <w:p>
            <w:pPr>
              <w:adjustRightInd w:val="0"/>
              <w:snapToGrid w:val="0"/>
              <w:spacing w:line="400" w:lineRule="exact"/>
              <w:jc w:val="center"/>
              <w:rPr>
                <w:rFonts w:hint="eastAsia"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40" w:type="dxa"/>
            <w:vAlign w:val="center"/>
          </w:tcPr>
          <w:p>
            <w:pPr>
              <w:adjustRightInd w:val="0"/>
              <w:snapToGrid w:val="0"/>
              <w:spacing w:line="400" w:lineRule="exact"/>
              <w:jc w:val="center"/>
              <w:outlineLvl w:val="0"/>
              <w:rPr>
                <w:rFonts w:hint="eastAsia" w:ascii="仿宋_GB2312" w:hAnsi="仿宋" w:eastAsia="仿宋_GB2312" w:cs="仿宋"/>
                <w:sz w:val="24"/>
              </w:rPr>
            </w:pPr>
            <w:bookmarkStart w:id="31" w:name="_Toc377"/>
            <w:r>
              <w:rPr>
                <w:rFonts w:hint="eastAsia" w:ascii="仿宋_GB2312" w:hAnsi="仿宋" w:eastAsia="仿宋_GB2312" w:cs="仿宋"/>
                <w:sz w:val="24"/>
              </w:rPr>
              <w:t>5</w:t>
            </w:r>
            <w:bookmarkEnd w:id="31"/>
          </w:p>
        </w:tc>
        <w:tc>
          <w:tcPr>
            <w:tcW w:w="3948" w:type="dxa"/>
            <w:vAlign w:val="center"/>
          </w:tcPr>
          <w:p>
            <w:pPr>
              <w:pStyle w:val="5"/>
              <w:widowControl/>
              <w:wordWrap w:val="0"/>
              <w:spacing w:before="60" w:beforeAutospacing="0" w:afterAutospacing="0" w:line="360" w:lineRule="exact"/>
              <w:rPr>
                <w:rFonts w:hint="eastAsia" w:ascii="仿宋_GB2312" w:hAnsi="仿宋" w:eastAsia="仿宋_GB2312" w:cs="仿宋"/>
              </w:rPr>
            </w:pPr>
            <w:r>
              <w:rPr>
                <w:rFonts w:hint="eastAsia" w:ascii="仿宋_GB2312" w:hAnsi="仿宋" w:eastAsia="仿宋_GB2312" w:cs="仿宋"/>
                <w:color w:val="000000" w:themeColor="text1"/>
                <w14:textFill>
                  <w14:solidFill>
                    <w14:schemeClr w14:val="tx1"/>
                  </w14:solidFill>
                </w14:textFill>
              </w:rPr>
              <w:t>3.机构应具备“互联网+护理服务”线上申请、跟踪、评价等服务的互联网信息技术平台。</w:t>
            </w:r>
          </w:p>
        </w:tc>
        <w:tc>
          <w:tcPr>
            <w:tcW w:w="3948" w:type="dxa"/>
            <w:vAlign w:val="center"/>
          </w:tcPr>
          <w:p>
            <w:pPr>
              <w:adjustRightInd w:val="0"/>
              <w:snapToGrid w:val="0"/>
              <w:spacing w:line="400" w:lineRule="exact"/>
              <w:jc w:val="center"/>
              <w:rPr>
                <w:rFonts w:hint="eastAsia" w:ascii="仿宋_GB2312" w:hAnsi="仿宋" w:eastAsia="仿宋_GB2312" w:cs="仿宋"/>
                <w:sz w:val="24"/>
              </w:rPr>
            </w:pPr>
          </w:p>
        </w:tc>
        <w:tc>
          <w:tcPr>
            <w:tcW w:w="1473" w:type="dxa"/>
            <w:vAlign w:val="center"/>
          </w:tcPr>
          <w:p>
            <w:pPr>
              <w:adjustRightInd w:val="0"/>
              <w:snapToGrid w:val="0"/>
              <w:spacing w:line="400" w:lineRule="exact"/>
              <w:jc w:val="center"/>
              <w:rPr>
                <w:rFonts w:hint="eastAsia"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640" w:type="dxa"/>
            <w:vAlign w:val="center"/>
          </w:tcPr>
          <w:p>
            <w:pPr>
              <w:adjustRightInd w:val="0"/>
              <w:snapToGrid w:val="0"/>
              <w:spacing w:line="400" w:lineRule="exact"/>
              <w:jc w:val="center"/>
              <w:outlineLvl w:val="0"/>
              <w:rPr>
                <w:rFonts w:hint="eastAsia" w:ascii="仿宋_GB2312" w:hAnsi="仿宋" w:eastAsia="仿宋_GB2312" w:cs="仿宋"/>
                <w:sz w:val="24"/>
              </w:rPr>
            </w:pPr>
            <w:r>
              <w:rPr>
                <w:rFonts w:hint="eastAsia" w:ascii="仿宋_GB2312" w:hAnsi="仿宋" w:eastAsia="仿宋_GB2312" w:cs="仿宋"/>
                <w:sz w:val="24"/>
              </w:rPr>
              <w:t>6</w:t>
            </w:r>
          </w:p>
        </w:tc>
        <w:tc>
          <w:tcPr>
            <w:tcW w:w="3948" w:type="dxa"/>
            <w:vAlign w:val="center"/>
          </w:tcPr>
          <w:p>
            <w:pPr>
              <w:adjustRightInd w:val="0"/>
              <w:snapToGrid w:val="0"/>
              <w:spacing w:line="400" w:lineRule="exact"/>
              <w:jc w:val="left"/>
              <w:rPr>
                <w:rFonts w:hint="eastAsia" w:ascii="仿宋_GB2312" w:hAnsi="仿宋" w:eastAsia="仿宋_GB2312" w:cs="仿宋"/>
                <w:sz w:val="24"/>
              </w:rPr>
            </w:pPr>
            <w:r>
              <w:rPr>
                <w:rFonts w:hint="eastAsia" w:ascii="仿宋_GB2312" w:hAnsi="仿宋" w:eastAsia="仿宋_GB2312" w:cs="仿宋"/>
                <w:color w:val="000000" w:themeColor="text1"/>
                <w:sz w:val="24"/>
                <w14:textFill>
                  <w14:solidFill>
                    <w14:schemeClr w14:val="tx1"/>
                  </w14:solidFill>
                </w14:textFill>
              </w:rPr>
              <w:t>4.机构具备上门服务的培训能力及完善的考核标准。</w:t>
            </w:r>
          </w:p>
        </w:tc>
        <w:tc>
          <w:tcPr>
            <w:tcW w:w="3948" w:type="dxa"/>
            <w:vAlign w:val="center"/>
          </w:tcPr>
          <w:p>
            <w:pPr>
              <w:adjustRightInd w:val="0"/>
              <w:snapToGrid w:val="0"/>
              <w:spacing w:line="400" w:lineRule="exact"/>
              <w:jc w:val="center"/>
              <w:rPr>
                <w:rFonts w:hint="eastAsia" w:ascii="仿宋_GB2312" w:hAnsi="仿宋" w:eastAsia="仿宋_GB2312" w:cs="仿宋"/>
                <w:sz w:val="24"/>
              </w:rPr>
            </w:pPr>
          </w:p>
        </w:tc>
        <w:tc>
          <w:tcPr>
            <w:tcW w:w="1473" w:type="dxa"/>
            <w:tcBorders>
              <w:right w:val="single" w:color="auto" w:sz="4" w:space="0"/>
            </w:tcBorders>
            <w:vAlign w:val="center"/>
          </w:tcPr>
          <w:p>
            <w:pPr>
              <w:adjustRightInd w:val="0"/>
              <w:snapToGrid w:val="0"/>
              <w:spacing w:line="400" w:lineRule="exact"/>
              <w:jc w:val="center"/>
              <w:rPr>
                <w:rFonts w:hint="eastAsia"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640" w:type="dxa"/>
            <w:vAlign w:val="center"/>
          </w:tcPr>
          <w:p>
            <w:pPr>
              <w:adjustRightInd w:val="0"/>
              <w:snapToGrid w:val="0"/>
              <w:spacing w:line="400" w:lineRule="exact"/>
              <w:jc w:val="center"/>
              <w:outlineLvl w:val="0"/>
              <w:rPr>
                <w:rFonts w:hint="eastAsia" w:ascii="仿宋_GB2312" w:hAnsi="仿宋" w:eastAsia="仿宋_GB2312" w:cs="仿宋"/>
                <w:sz w:val="24"/>
              </w:rPr>
            </w:pPr>
            <w:r>
              <w:rPr>
                <w:rFonts w:hint="eastAsia" w:ascii="仿宋_GB2312" w:hAnsi="仿宋" w:eastAsia="仿宋_GB2312" w:cs="仿宋"/>
                <w:sz w:val="24"/>
              </w:rPr>
              <w:t>7</w:t>
            </w:r>
          </w:p>
        </w:tc>
        <w:tc>
          <w:tcPr>
            <w:tcW w:w="3948" w:type="dxa"/>
            <w:vAlign w:val="center"/>
          </w:tcPr>
          <w:p>
            <w:pPr>
              <w:pStyle w:val="5"/>
              <w:widowControl/>
              <w:wordWrap w:val="0"/>
              <w:spacing w:before="60" w:beforeAutospacing="0" w:afterAutospacing="0" w:line="360" w:lineRule="exact"/>
              <w:rPr>
                <w:rFonts w:hint="eastAsia" w:ascii="仿宋_GB2312" w:hAnsi="仿宋" w:eastAsia="仿宋_GB2312" w:cs="仿宋"/>
                <w:color w:val="000000" w:themeColor="text1"/>
                <w14:textFill>
                  <w14:solidFill>
                    <w14:schemeClr w14:val="tx1"/>
                  </w14:solidFill>
                </w14:textFill>
              </w:rPr>
            </w:pPr>
            <w:r>
              <w:rPr>
                <w:rFonts w:hint="eastAsia" w:ascii="仿宋_GB2312" w:hAnsi="仿宋" w:eastAsia="仿宋_GB2312" w:cs="仿宋"/>
                <w:color w:val="000000" w:themeColor="text1"/>
                <w14:textFill>
                  <w14:solidFill>
                    <w14:schemeClr w14:val="tx1"/>
                  </w14:solidFill>
                </w14:textFill>
              </w:rPr>
              <w:t>5.机构有开展“互联网+护理服务”3年以上经验。</w:t>
            </w:r>
          </w:p>
        </w:tc>
        <w:tc>
          <w:tcPr>
            <w:tcW w:w="3948" w:type="dxa"/>
            <w:vAlign w:val="center"/>
          </w:tcPr>
          <w:p>
            <w:pPr>
              <w:adjustRightInd w:val="0"/>
              <w:snapToGrid w:val="0"/>
              <w:spacing w:line="400" w:lineRule="exact"/>
              <w:jc w:val="center"/>
              <w:rPr>
                <w:rFonts w:hint="eastAsia" w:ascii="仿宋_GB2312" w:hAnsi="仿宋" w:eastAsia="仿宋_GB2312" w:cs="仿宋"/>
                <w:sz w:val="24"/>
              </w:rPr>
            </w:pPr>
          </w:p>
        </w:tc>
        <w:tc>
          <w:tcPr>
            <w:tcW w:w="1473" w:type="dxa"/>
            <w:tcBorders>
              <w:right w:val="single" w:color="auto" w:sz="4" w:space="0"/>
            </w:tcBorders>
            <w:vAlign w:val="center"/>
          </w:tcPr>
          <w:p>
            <w:pPr>
              <w:adjustRightInd w:val="0"/>
              <w:snapToGrid w:val="0"/>
              <w:spacing w:line="400" w:lineRule="exact"/>
              <w:jc w:val="center"/>
              <w:rPr>
                <w:rFonts w:hint="eastAsia"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640" w:type="dxa"/>
            <w:vAlign w:val="center"/>
          </w:tcPr>
          <w:p>
            <w:pPr>
              <w:adjustRightInd w:val="0"/>
              <w:snapToGrid w:val="0"/>
              <w:spacing w:line="400" w:lineRule="exact"/>
              <w:jc w:val="center"/>
              <w:outlineLvl w:val="0"/>
              <w:rPr>
                <w:rFonts w:hint="eastAsia" w:ascii="仿宋_GB2312" w:hAnsi="仿宋" w:eastAsia="仿宋_GB2312" w:cs="仿宋"/>
                <w:sz w:val="24"/>
              </w:rPr>
            </w:pPr>
            <w:r>
              <w:rPr>
                <w:rFonts w:hint="eastAsia" w:ascii="仿宋_GB2312" w:hAnsi="仿宋" w:eastAsia="仿宋_GB2312" w:cs="仿宋"/>
                <w:sz w:val="24"/>
              </w:rPr>
              <w:t>8</w:t>
            </w:r>
          </w:p>
        </w:tc>
        <w:tc>
          <w:tcPr>
            <w:tcW w:w="3948" w:type="dxa"/>
            <w:vAlign w:val="center"/>
          </w:tcPr>
          <w:p>
            <w:pPr>
              <w:pStyle w:val="5"/>
              <w:widowControl/>
              <w:wordWrap w:val="0"/>
              <w:spacing w:before="60" w:beforeAutospacing="0" w:afterAutospacing="0" w:line="360" w:lineRule="exact"/>
              <w:rPr>
                <w:rFonts w:hint="eastAsia" w:ascii="仿宋_GB2312" w:hAnsi="仿宋" w:eastAsia="仿宋_GB2312" w:cs="仿宋"/>
                <w:color w:val="000000" w:themeColor="text1"/>
                <w14:textFill>
                  <w14:solidFill>
                    <w14:schemeClr w14:val="tx1"/>
                  </w14:solidFill>
                </w14:textFill>
              </w:rPr>
            </w:pPr>
            <w:r>
              <w:rPr>
                <w:rFonts w:hint="eastAsia" w:ascii="仿宋_GB2312" w:hAnsi="仿宋" w:eastAsia="仿宋_GB2312" w:cs="仿宋"/>
                <w:color w:val="000000" w:themeColor="text1"/>
                <w14:textFill>
                  <w14:solidFill>
                    <w14:schemeClr w14:val="tx1"/>
                  </w14:solidFill>
                </w14:textFill>
              </w:rPr>
              <w:t>6.机构不收取医院的任何费用、有整套开展运行机制和完善的管理体系。</w:t>
            </w:r>
          </w:p>
        </w:tc>
        <w:tc>
          <w:tcPr>
            <w:tcW w:w="3948" w:type="dxa"/>
            <w:vAlign w:val="center"/>
          </w:tcPr>
          <w:p>
            <w:pPr>
              <w:adjustRightInd w:val="0"/>
              <w:snapToGrid w:val="0"/>
              <w:spacing w:line="400" w:lineRule="exact"/>
              <w:jc w:val="center"/>
              <w:rPr>
                <w:rFonts w:hint="eastAsia" w:ascii="仿宋_GB2312" w:hAnsi="仿宋" w:eastAsia="仿宋_GB2312" w:cs="仿宋"/>
                <w:sz w:val="24"/>
              </w:rPr>
            </w:pPr>
          </w:p>
        </w:tc>
        <w:tc>
          <w:tcPr>
            <w:tcW w:w="1473" w:type="dxa"/>
            <w:tcBorders>
              <w:right w:val="single" w:color="auto" w:sz="4" w:space="0"/>
            </w:tcBorders>
            <w:vAlign w:val="center"/>
          </w:tcPr>
          <w:p>
            <w:pPr>
              <w:adjustRightInd w:val="0"/>
              <w:snapToGrid w:val="0"/>
              <w:spacing w:line="400" w:lineRule="exact"/>
              <w:jc w:val="center"/>
              <w:rPr>
                <w:rFonts w:hint="eastAsia"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640" w:type="dxa"/>
            <w:vAlign w:val="center"/>
          </w:tcPr>
          <w:p>
            <w:pPr>
              <w:adjustRightInd w:val="0"/>
              <w:snapToGrid w:val="0"/>
              <w:spacing w:line="400" w:lineRule="exact"/>
              <w:jc w:val="center"/>
              <w:outlineLvl w:val="0"/>
              <w:rPr>
                <w:rFonts w:hint="eastAsia" w:ascii="仿宋_GB2312" w:hAnsi="仿宋" w:eastAsia="仿宋_GB2312" w:cs="仿宋"/>
                <w:sz w:val="24"/>
              </w:rPr>
            </w:pPr>
            <w:r>
              <w:rPr>
                <w:rFonts w:hint="eastAsia" w:ascii="仿宋_GB2312" w:hAnsi="仿宋" w:eastAsia="仿宋_GB2312" w:cs="仿宋"/>
                <w:sz w:val="24"/>
              </w:rPr>
              <w:t>9</w:t>
            </w:r>
          </w:p>
        </w:tc>
        <w:tc>
          <w:tcPr>
            <w:tcW w:w="3948" w:type="dxa"/>
            <w:vAlign w:val="center"/>
          </w:tcPr>
          <w:p>
            <w:pPr>
              <w:adjustRightInd w:val="0"/>
              <w:snapToGrid w:val="0"/>
              <w:spacing w:line="400" w:lineRule="exact"/>
              <w:jc w:val="left"/>
              <w:rPr>
                <w:rFonts w:hint="eastAsia"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7.机构能负责接单和派单工作，承担居家服务耗材及购买护士的人身保险，执行双人上门服务制（即机构1名工作人员+1名医院护士）。</w:t>
            </w:r>
          </w:p>
        </w:tc>
        <w:tc>
          <w:tcPr>
            <w:tcW w:w="3948" w:type="dxa"/>
            <w:vAlign w:val="center"/>
          </w:tcPr>
          <w:p>
            <w:pPr>
              <w:adjustRightInd w:val="0"/>
              <w:snapToGrid w:val="0"/>
              <w:spacing w:line="400" w:lineRule="exact"/>
              <w:jc w:val="center"/>
              <w:rPr>
                <w:rFonts w:hint="eastAsia" w:ascii="仿宋_GB2312" w:hAnsi="仿宋" w:eastAsia="仿宋_GB2312" w:cs="仿宋"/>
                <w:sz w:val="24"/>
              </w:rPr>
            </w:pPr>
          </w:p>
        </w:tc>
        <w:tc>
          <w:tcPr>
            <w:tcW w:w="1473" w:type="dxa"/>
            <w:tcBorders>
              <w:right w:val="single" w:color="auto" w:sz="4" w:space="0"/>
            </w:tcBorders>
            <w:vAlign w:val="center"/>
          </w:tcPr>
          <w:p>
            <w:pPr>
              <w:adjustRightInd w:val="0"/>
              <w:snapToGrid w:val="0"/>
              <w:spacing w:line="400" w:lineRule="exact"/>
              <w:jc w:val="center"/>
              <w:rPr>
                <w:rFonts w:hint="eastAsia"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640" w:type="dxa"/>
            <w:vAlign w:val="center"/>
          </w:tcPr>
          <w:p>
            <w:pPr>
              <w:adjustRightInd w:val="0"/>
              <w:snapToGrid w:val="0"/>
              <w:spacing w:line="400" w:lineRule="exact"/>
              <w:jc w:val="center"/>
              <w:outlineLvl w:val="0"/>
              <w:rPr>
                <w:rFonts w:hint="eastAsia" w:ascii="仿宋_GB2312" w:hAnsi="仿宋" w:eastAsia="仿宋_GB2312" w:cs="仿宋"/>
                <w:sz w:val="24"/>
              </w:rPr>
            </w:pPr>
            <w:r>
              <w:rPr>
                <w:rFonts w:hint="eastAsia" w:ascii="仿宋_GB2312" w:hAnsi="仿宋" w:eastAsia="仿宋_GB2312" w:cs="仿宋"/>
                <w:sz w:val="24"/>
              </w:rPr>
              <w:t>10</w:t>
            </w:r>
          </w:p>
        </w:tc>
        <w:tc>
          <w:tcPr>
            <w:tcW w:w="3948" w:type="dxa"/>
            <w:vAlign w:val="center"/>
          </w:tcPr>
          <w:p>
            <w:pPr>
              <w:adjustRightInd w:val="0"/>
              <w:snapToGrid w:val="0"/>
              <w:spacing w:line="400" w:lineRule="exact"/>
              <w:jc w:val="left"/>
              <w:rPr>
                <w:rFonts w:hint="eastAsia"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8.除了耗材成本（耗材成本价格应经过双方协商确认）剩余费用供应商占比按不高于50%的劳务分配原则进行报价。（高于50%报价无效）</w:t>
            </w:r>
          </w:p>
        </w:tc>
        <w:tc>
          <w:tcPr>
            <w:tcW w:w="3948" w:type="dxa"/>
            <w:vAlign w:val="center"/>
          </w:tcPr>
          <w:p>
            <w:pPr>
              <w:adjustRightInd w:val="0"/>
              <w:snapToGrid w:val="0"/>
              <w:spacing w:line="400" w:lineRule="exact"/>
              <w:jc w:val="center"/>
              <w:rPr>
                <w:rFonts w:hint="eastAsia" w:ascii="仿宋_GB2312" w:hAnsi="仿宋" w:eastAsia="仿宋_GB2312" w:cs="仿宋"/>
                <w:sz w:val="24"/>
              </w:rPr>
            </w:pPr>
          </w:p>
        </w:tc>
        <w:tc>
          <w:tcPr>
            <w:tcW w:w="1473" w:type="dxa"/>
            <w:tcBorders>
              <w:right w:val="single" w:color="auto" w:sz="4" w:space="0"/>
            </w:tcBorders>
            <w:vAlign w:val="center"/>
          </w:tcPr>
          <w:p>
            <w:pPr>
              <w:adjustRightInd w:val="0"/>
              <w:snapToGrid w:val="0"/>
              <w:spacing w:line="400" w:lineRule="exact"/>
              <w:jc w:val="center"/>
              <w:rPr>
                <w:rFonts w:hint="eastAsia"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640" w:type="dxa"/>
            <w:vAlign w:val="center"/>
          </w:tcPr>
          <w:p>
            <w:pPr>
              <w:adjustRightInd w:val="0"/>
              <w:snapToGrid w:val="0"/>
              <w:spacing w:line="400" w:lineRule="exact"/>
              <w:jc w:val="center"/>
              <w:outlineLvl w:val="0"/>
              <w:rPr>
                <w:rFonts w:hint="eastAsia" w:ascii="仿宋_GB2312" w:hAnsi="仿宋" w:eastAsia="仿宋_GB2312" w:cs="仿宋"/>
                <w:sz w:val="24"/>
              </w:rPr>
            </w:pPr>
            <w:r>
              <w:rPr>
                <w:rFonts w:hint="eastAsia" w:ascii="仿宋_GB2312" w:hAnsi="仿宋" w:eastAsia="仿宋_GB2312" w:cs="仿宋"/>
                <w:sz w:val="24"/>
              </w:rPr>
              <w:t>11</w:t>
            </w:r>
          </w:p>
        </w:tc>
        <w:tc>
          <w:tcPr>
            <w:tcW w:w="3948" w:type="dxa"/>
            <w:vAlign w:val="center"/>
          </w:tcPr>
          <w:p>
            <w:pPr>
              <w:pStyle w:val="5"/>
              <w:widowControl/>
              <w:wordWrap w:val="0"/>
              <w:spacing w:before="60" w:beforeAutospacing="0" w:afterAutospacing="0" w:line="360" w:lineRule="exact"/>
              <w:rPr>
                <w:rFonts w:hint="eastAsia" w:ascii="仿宋_GB2312" w:hAnsi="仿宋" w:eastAsia="仿宋_GB2312" w:cs="仿宋"/>
                <w:color w:val="000000" w:themeColor="text1"/>
                <w14:textFill>
                  <w14:solidFill>
                    <w14:schemeClr w14:val="tx1"/>
                  </w14:solidFill>
                </w14:textFill>
              </w:rPr>
            </w:pPr>
            <w:r>
              <w:rPr>
                <w:rFonts w:hint="eastAsia" w:ascii="仿宋_GB2312" w:hAnsi="仿宋" w:eastAsia="仿宋_GB2312" w:cs="仿宋"/>
                <w:color w:val="000000" w:themeColor="text1"/>
                <w14:textFill>
                  <w14:solidFill>
                    <w14:schemeClr w14:val="tx1"/>
                  </w14:solidFill>
                </w14:textFill>
              </w:rPr>
              <w:t>9.在为患者提供的医疗护理服务过程中产生的一切问题，由中标方承担。</w:t>
            </w:r>
          </w:p>
        </w:tc>
        <w:tc>
          <w:tcPr>
            <w:tcW w:w="3948" w:type="dxa"/>
            <w:vAlign w:val="center"/>
          </w:tcPr>
          <w:p>
            <w:pPr>
              <w:adjustRightInd w:val="0"/>
              <w:snapToGrid w:val="0"/>
              <w:spacing w:line="400" w:lineRule="exact"/>
              <w:jc w:val="center"/>
              <w:rPr>
                <w:rFonts w:hint="eastAsia" w:ascii="仿宋_GB2312" w:hAnsi="仿宋" w:eastAsia="仿宋_GB2312" w:cs="仿宋"/>
                <w:sz w:val="24"/>
              </w:rPr>
            </w:pPr>
          </w:p>
        </w:tc>
        <w:tc>
          <w:tcPr>
            <w:tcW w:w="1473" w:type="dxa"/>
            <w:tcBorders>
              <w:right w:val="single" w:color="auto" w:sz="4" w:space="0"/>
            </w:tcBorders>
            <w:vAlign w:val="center"/>
          </w:tcPr>
          <w:p>
            <w:pPr>
              <w:adjustRightInd w:val="0"/>
              <w:snapToGrid w:val="0"/>
              <w:spacing w:line="400" w:lineRule="exact"/>
              <w:jc w:val="center"/>
              <w:rPr>
                <w:rFonts w:hint="eastAsia"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640" w:type="dxa"/>
            <w:vAlign w:val="center"/>
          </w:tcPr>
          <w:p>
            <w:pPr>
              <w:adjustRightInd w:val="0"/>
              <w:snapToGrid w:val="0"/>
              <w:spacing w:line="400" w:lineRule="exact"/>
              <w:jc w:val="center"/>
              <w:outlineLvl w:val="0"/>
              <w:rPr>
                <w:rFonts w:hint="eastAsia" w:ascii="仿宋_GB2312" w:hAnsi="仿宋" w:eastAsia="仿宋_GB2312" w:cs="仿宋"/>
                <w:sz w:val="24"/>
              </w:rPr>
            </w:pPr>
            <w:r>
              <w:rPr>
                <w:rFonts w:hint="eastAsia" w:ascii="仿宋_GB2312" w:hAnsi="仿宋" w:eastAsia="仿宋_GB2312" w:cs="仿宋"/>
                <w:sz w:val="24"/>
              </w:rPr>
              <w:t>12</w:t>
            </w:r>
          </w:p>
        </w:tc>
        <w:tc>
          <w:tcPr>
            <w:tcW w:w="3948" w:type="dxa"/>
            <w:vAlign w:val="center"/>
          </w:tcPr>
          <w:p>
            <w:pPr>
              <w:pStyle w:val="5"/>
              <w:widowControl/>
              <w:wordWrap w:val="0"/>
              <w:spacing w:before="60" w:beforeAutospacing="0" w:afterAutospacing="0" w:line="360" w:lineRule="exact"/>
              <w:rPr>
                <w:rFonts w:hint="eastAsia" w:ascii="仿宋_GB2312" w:hAnsi="仿宋" w:eastAsia="仿宋_GB2312" w:cs="仿宋"/>
                <w:color w:val="000000" w:themeColor="text1"/>
                <w14:textFill>
                  <w14:solidFill>
                    <w14:schemeClr w14:val="tx1"/>
                  </w14:solidFill>
                </w14:textFill>
              </w:rPr>
            </w:pPr>
            <w:r>
              <w:rPr>
                <w:rFonts w:hint="eastAsia" w:ascii="仿宋_GB2312" w:hAnsi="仿宋" w:eastAsia="仿宋_GB2312" w:cs="仿宋"/>
                <w:color w:val="000000" w:themeColor="text1"/>
                <w14:textFill>
                  <w14:solidFill>
                    <w14:schemeClr w14:val="tx1"/>
                  </w14:solidFill>
                </w14:textFill>
              </w:rPr>
              <w:t>10.合同期：采购期共</w:t>
            </w:r>
            <w:r>
              <w:rPr>
                <w:rFonts w:hint="eastAsia" w:ascii="仿宋_GB2312" w:hAnsi="仿宋" w:eastAsia="仿宋_GB2312" w:cs="仿宋"/>
              </w:rPr>
              <w:t>3年</w:t>
            </w:r>
            <w:r>
              <w:rPr>
                <w:rFonts w:hint="eastAsia" w:ascii="仿宋_GB2312" w:hAnsi="仿宋" w:eastAsia="仿宋_GB2312" w:cs="仿宋"/>
                <w:color w:val="000000" w:themeColor="text1"/>
                <w14:textFill>
                  <w14:solidFill>
                    <w14:schemeClr w14:val="tx1"/>
                  </w14:solidFill>
                </w14:textFill>
              </w:rPr>
              <w:t>。</w:t>
            </w:r>
          </w:p>
        </w:tc>
        <w:tc>
          <w:tcPr>
            <w:tcW w:w="3948" w:type="dxa"/>
            <w:vAlign w:val="center"/>
          </w:tcPr>
          <w:p>
            <w:pPr>
              <w:adjustRightInd w:val="0"/>
              <w:snapToGrid w:val="0"/>
              <w:spacing w:line="400" w:lineRule="exact"/>
              <w:jc w:val="center"/>
              <w:rPr>
                <w:rFonts w:hint="eastAsia" w:ascii="仿宋_GB2312" w:hAnsi="仿宋" w:eastAsia="仿宋_GB2312" w:cs="仿宋"/>
                <w:sz w:val="24"/>
              </w:rPr>
            </w:pPr>
          </w:p>
        </w:tc>
        <w:tc>
          <w:tcPr>
            <w:tcW w:w="1473" w:type="dxa"/>
            <w:tcBorders>
              <w:right w:val="single" w:color="auto" w:sz="4" w:space="0"/>
            </w:tcBorders>
            <w:vAlign w:val="center"/>
          </w:tcPr>
          <w:p>
            <w:pPr>
              <w:adjustRightInd w:val="0"/>
              <w:snapToGrid w:val="0"/>
              <w:spacing w:line="400" w:lineRule="exact"/>
              <w:jc w:val="center"/>
              <w:rPr>
                <w:rFonts w:hint="eastAsia" w:ascii="仿宋_GB2312" w:hAnsi="仿宋" w:eastAsia="仿宋_GB2312" w:cs="仿宋"/>
                <w:sz w:val="24"/>
              </w:rPr>
            </w:pPr>
          </w:p>
        </w:tc>
      </w:tr>
    </w:tbl>
    <w:p>
      <w:pPr>
        <w:snapToGrid w:val="0"/>
        <w:spacing w:before="50" w:after="50"/>
        <w:jc w:val="left"/>
        <w:rPr>
          <w:rFonts w:hint="eastAsia" w:ascii="仿宋_GB2312" w:hAnsi="仿宋_GB2312" w:eastAsia="仿宋_GB2312" w:cs="仿宋_GB2312"/>
          <w:sz w:val="24"/>
        </w:rPr>
      </w:pPr>
    </w:p>
    <w:p>
      <w:pPr>
        <w:snapToGrid w:val="0"/>
        <w:spacing w:before="50" w:after="50"/>
        <w:ind w:firstLine="480" w:firstLineChars="200"/>
        <w:jc w:val="left"/>
        <w:rPr>
          <w:rFonts w:hint="eastAsia" w:ascii="仿宋_GB2312" w:hAnsi="仿宋" w:eastAsia="仿宋_GB2312" w:cs="仿宋"/>
          <w:color w:val="000000" w:themeColor="text1"/>
          <w:kern w:val="0"/>
          <w:sz w:val="24"/>
          <w14:textFill>
            <w14:solidFill>
              <w14:schemeClr w14:val="tx1"/>
            </w14:solidFill>
          </w14:textFill>
        </w:rPr>
      </w:pPr>
      <w:r>
        <w:rPr>
          <w:rFonts w:hint="eastAsia" w:ascii="仿宋_GB2312" w:hAnsi="仿宋" w:eastAsia="仿宋_GB2312" w:cs="仿宋"/>
          <w:color w:val="000000" w:themeColor="text1"/>
          <w:kern w:val="0"/>
          <w:sz w:val="24"/>
          <w14:textFill>
            <w14:solidFill>
              <w14:schemeClr w14:val="tx1"/>
            </w14:solidFill>
          </w14:textFill>
        </w:rPr>
        <w:t>说明：应对照“基本要求及其他说明”，逐条说明所提供货物和服务已对基本要求及其他说明做出了实质性的响应，并申明与技术规格条文的响应和偏离。</w:t>
      </w:r>
    </w:p>
    <w:p>
      <w:pPr>
        <w:snapToGrid w:val="0"/>
        <w:spacing w:before="50" w:after="50"/>
        <w:ind w:left="-2" w:leftChars="-1" w:right="-817" w:rightChars="-389"/>
        <w:rPr>
          <w:rFonts w:hint="eastAsia" w:ascii="仿宋_GB2312" w:hAnsi="仿宋_GB2312" w:eastAsia="仿宋_GB2312" w:cs="仿宋_GB2312"/>
          <w:sz w:val="24"/>
        </w:rPr>
      </w:pPr>
    </w:p>
    <w:p>
      <w:pPr>
        <w:snapToGrid w:val="0"/>
        <w:spacing w:before="50" w:after="50"/>
        <w:ind w:left="-2" w:leftChars="-1" w:right="-817" w:rightChars="-389"/>
        <w:rPr>
          <w:rFonts w:hint="eastAsia" w:ascii="仿宋_GB2312" w:hAnsi="仿宋_GB2312" w:eastAsia="仿宋_GB2312" w:cs="仿宋_GB2312"/>
          <w:sz w:val="24"/>
        </w:rPr>
      </w:pPr>
    </w:p>
    <w:p>
      <w:pPr>
        <w:snapToGrid w:val="0"/>
        <w:spacing w:before="50" w:after="50"/>
        <w:ind w:left="-2" w:leftChars="-1" w:right="-817" w:rightChars="-389"/>
        <w:jc w:val="center"/>
        <w:rPr>
          <w:rFonts w:hint="eastAsia" w:ascii="仿宋_GB2312" w:hAnsi="仿宋_GB2312" w:eastAsia="仿宋_GB2312" w:cs="仿宋_GB2312"/>
          <w:sz w:val="24"/>
        </w:rPr>
      </w:pPr>
    </w:p>
    <w:p>
      <w:pPr>
        <w:snapToGrid w:val="0"/>
        <w:spacing w:before="50" w:after="50"/>
        <w:ind w:left="-2" w:leftChars="-1" w:right="-817" w:rightChars="-389"/>
        <w:jc w:val="center"/>
        <w:rPr>
          <w:rFonts w:hint="eastAsia" w:ascii="仿宋_GB2312" w:hAnsi="仿宋_GB2312" w:eastAsia="仿宋_GB2312" w:cs="仿宋_GB2312"/>
          <w:sz w:val="24"/>
        </w:rPr>
      </w:pPr>
    </w:p>
    <w:p>
      <w:pPr>
        <w:snapToGrid w:val="0"/>
        <w:spacing w:before="50" w:after="50"/>
        <w:ind w:left="-2" w:leftChars="-1" w:right="-817" w:rightChars="-389"/>
        <w:jc w:val="center"/>
        <w:rPr>
          <w:rFonts w:hint="eastAsia" w:ascii="仿宋_GB2312" w:hAnsi="仿宋_GB2312" w:eastAsia="仿宋_GB2312" w:cs="仿宋_GB2312"/>
          <w:sz w:val="24"/>
        </w:rPr>
      </w:pPr>
    </w:p>
    <w:p>
      <w:pPr>
        <w:snapToGrid w:val="0"/>
        <w:spacing w:before="50" w:after="50"/>
        <w:ind w:left="-2" w:leftChars="-1" w:right="-817" w:rightChars="-389"/>
        <w:jc w:val="center"/>
        <w:rPr>
          <w:rFonts w:hint="eastAsia" w:ascii="仿宋_GB2312" w:hAnsi="仿宋_GB2312" w:eastAsia="仿宋_GB2312" w:cs="仿宋_GB2312"/>
          <w:sz w:val="24"/>
        </w:rPr>
      </w:pPr>
    </w:p>
    <w:p>
      <w:pPr>
        <w:snapToGrid w:val="0"/>
        <w:spacing w:before="50" w:after="50"/>
        <w:ind w:left="-2" w:leftChars="-1" w:right="-817" w:rightChars="-389"/>
        <w:jc w:val="center"/>
        <w:rPr>
          <w:rFonts w:hint="eastAsia" w:ascii="仿宋_GB2312" w:hAnsi="仿宋_GB2312" w:eastAsia="仿宋_GB2312" w:cs="仿宋_GB2312"/>
          <w:sz w:val="24"/>
        </w:rPr>
      </w:pPr>
    </w:p>
    <w:p>
      <w:pPr>
        <w:snapToGrid w:val="0"/>
        <w:spacing w:before="50" w:after="50"/>
        <w:ind w:left="-2" w:leftChars="-1" w:right="-817" w:rightChars="-389"/>
        <w:jc w:val="center"/>
        <w:rPr>
          <w:rFonts w:hint="eastAsia" w:ascii="仿宋_GB2312" w:hAnsi="仿宋_GB2312" w:eastAsia="仿宋_GB2312" w:cs="仿宋_GB2312"/>
          <w:sz w:val="24"/>
        </w:rPr>
      </w:pPr>
      <w:r>
        <w:rPr>
          <w:rFonts w:hint="eastAsia" w:ascii="仿宋_GB2312" w:hAnsi="仿宋_GB2312" w:eastAsia="仿宋_GB2312" w:cs="仿宋_GB2312"/>
          <w:sz w:val="24"/>
        </w:rPr>
        <w:t>法定代表人或委托代理人（签字）：</w:t>
      </w:r>
    </w:p>
    <w:p>
      <w:pPr>
        <w:snapToGrid w:val="0"/>
        <w:spacing w:before="50" w:after="50"/>
        <w:ind w:left="-3" w:leftChars="-72" w:right="-817" w:rightChars="-389" w:hanging="148" w:hangingChars="62"/>
        <w:jc w:val="center"/>
        <w:rPr>
          <w:rFonts w:hint="eastAsia" w:ascii="仿宋_GB2312" w:hAnsi="仿宋_GB2312" w:eastAsia="仿宋_GB2312" w:cs="仿宋_GB2312"/>
          <w:sz w:val="24"/>
        </w:rPr>
      </w:pPr>
    </w:p>
    <w:p>
      <w:pPr>
        <w:snapToGrid w:val="0"/>
        <w:spacing w:before="50" w:after="50"/>
        <w:ind w:left="-3" w:leftChars="-15" w:right="-817" w:rightChars="-389" w:hanging="28" w:hangingChars="12"/>
        <w:jc w:val="center"/>
        <w:rPr>
          <w:rFonts w:hint="eastAsia" w:ascii="仿宋_GB2312" w:hAnsi="仿宋_GB2312" w:eastAsia="仿宋_GB2312" w:cs="仿宋_GB2312"/>
          <w:sz w:val="24"/>
        </w:rPr>
      </w:pPr>
      <w:r>
        <w:rPr>
          <w:rFonts w:hint="eastAsia" w:ascii="仿宋_GB2312" w:hAnsi="仿宋_GB2312" w:eastAsia="仿宋_GB2312" w:cs="仿宋_GB2312"/>
          <w:sz w:val="24"/>
        </w:rPr>
        <w:t>投标人名称（盖章）：</w:t>
      </w:r>
    </w:p>
    <w:p>
      <w:pPr>
        <w:snapToGrid w:val="0"/>
        <w:spacing w:before="50" w:after="50"/>
        <w:ind w:left="-3" w:leftChars="-15" w:right="-817" w:rightChars="-389" w:hanging="28" w:hangingChars="12"/>
        <w:rPr>
          <w:rFonts w:hint="eastAsia" w:ascii="仿宋_GB2312" w:hAnsi="仿宋_GB2312" w:eastAsia="仿宋_GB2312" w:cs="仿宋_GB2312"/>
          <w:sz w:val="24"/>
        </w:rPr>
      </w:pPr>
    </w:p>
    <w:p>
      <w:pPr>
        <w:snapToGrid w:val="0"/>
        <w:spacing w:before="50" w:after="50"/>
        <w:ind w:left="208" w:leftChars="99" w:right="-817" w:rightChars="-389" w:firstLine="2601" w:firstLineChars="1084"/>
        <w:rPr>
          <w:rFonts w:hint="eastAsia" w:ascii="仿宋_GB2312" w:hAnsi="仿宋_GB2312" w:eastAsia="仿宋_GB2312" w:cs="仿宋_GB2312"/>
          <w:sz w:val="24"/>
        </w:rPr>
      </w:pPr>
      <w:r>
        <w:rPr>
          <w:rFonts w:hint="eastAsia" w:ascii="仿宋_GB2312" w:hAnsi="仿宋_GB2312" w:eastAsia="仿宋_GB2312" w:cs="仿宋_GB2312"/>
          <w:sz w:val="24"/>
        </w:rPr>
        <w:t xml:space="preserve">          日期：    年   月   日</w:t>
      </w:r>
    </w:p>
    <w:p>
      <w:pPr>
        <w:pStyle w:val="5"/>
        <w:widowControl/>
        <w:wordWrap w:val="0"/>
        <w:spacing w:before="60" w:beforeAutospacing="0" w:afterAutospacing="0" w:line="360" w:lineRule="exact"/>
        <w:rPr>
          <w:rFonts w:hint="eastAsia" w:ascii="仿宋_GB2312" w:hAnsi="方正仿宋_GB2312" w:eastAsia="仿宋_GB2312" w:cs="方正仿宋_GB2312"/>
          <w:color w:val="000000" w:themeColor="text1"/>
          <w14:textFill>
            <w14:solidFill>
              <w14:schemeClr w14:val="tx1"/>
            </w14:solidFill>
          </w14:textFill>
        </w:rPr>
      </w:pPr>
    </w:p>
    <w:p/>
    <w:sectPr>
      <w:headerReference r:id="rId3" w:type="default"/>
      <w:footerReference r:id="rId4" w:type="default"/>
      <w:pgSz w:w="11906" w:h="16838"/>
      <w:pgMar w:top="1418" w:right="1134"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 PAGE   \* MERGEFORMAT </w:instrText>
    </w:r>
    <w:r>
      <w:fldChar w:fldCharType="separate"/>
    </w:r>
    <w:r>
      <w:rPr>
        <w:lang w:val="zh-CN"/>
      </w:rPr>
      <w:t>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jZDEwMzU1NDJmZmZmZWZhMjJhMjNjYmM1NDJmMjMifQ=="/>
  </w:docVars>
  <w:rsids>
    <w:rsidRoot w:val="1BA72596"/>
    <w:rsid w:val="1BA72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首行缩进"/>
    <w:basedOn w:val="1"/>
    <w:autoRedefine/>
    <w:qFormat/>
    <w:uiPriority w:val="0"/>
    <w:pPr>
      <w:ind w:firstLine="480" w:firstLineChars="200"/>
    </w:pPr>
  </w:style>
  <w:style w:type="paragraph" w:styleId="3">
    <w:name w:val="Plain Text"/>
    <w:basedOn w:val="1"/>
    <w:next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2024-04-09T08:07:00Z</dcterms:created>
  <dc:creator>A秀秀</dc:creator>
  <cp:lastModifiedBy>A秀秀</cp:lastModifiedBy>
  <dcterms:modified xsi:type="dcterms:W3CDTF">2024-04-09T08:09:13Z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D360ED7A30E9493E91A777E200185057_11</vt:lpwstr>
  </property>
</Properties>
</file>