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全自动生化免疫流水线参数需求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生化免疫流水线系统需配置输入输出模块、离心模块、去盖模块、生化分析系统、免疫分析系统、加盖模块、低温存储模块、轨道系统及数据管理系统，各功能模块通过轨道连接实现完整的自动化样本处理流程，样本前后处理系统综合处理能力≥6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管/小时。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2、系统具有灵活的扩展性，可根据医院的后期发展灵活升级各功能模块，提升样本处理能力，每个功能模块可扩展模块数量≥1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个。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、整套系统无需气泵或空压机提供动力，节约实验室空间和减少实验室噪音。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、系统具备同时支持离线分析仪和在线分析仪的能力。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、所投全自动生化免疫流水线整套系统必须为同一品牌产品。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、输入输出模块架式处理能力≥</w:t>
      </w: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00管/小时。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、输入输出模块可同时装载架式样本管的数量≥</w:t>
      </w:r>
      <w:r>
        <w:rPr>
          <w:rFonts w:ascii="宋体" w:hAnsi="宋体" w:eastAsia="宋体"/>
          <w:sz w:val="24"/>
          <w:szCs w:val="24"/>
        </w:rPr>
        <w:t>100</w:t>
      </w:r>
      <w:r>
        <w:rPr>
          <w:rFonts w:hint="eastAsia" w:ascii="宋体" w:hAnsi="宋体" w:eastAsia="宋体"/>
          <w:sz w:val="24"/>
          <w:szCs w:val="24"/>
        </w:rPr>
        <w:t>0管。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、在线离心机处理能力≥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00管/小时。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、在线离心机单次可同时离心样本管总数量≥</w:t>
      </w:r>
      <w:r>
        <w:rPr>
          <w:rFonts w:ascii="宋体" w:hAnsi="宋体" w:eastAsia="宋体"/>
          <w:sz w:val="24"/>
          <w:szCs w:val="24"/>
        </w:rPr>
        <w:t>150</w:t>
      </w:r>
      <w:r>
        <w:rPr>
          <w:rFonts w:hint="eastAsia" w:ascii="宋体" w:hAnsi="宋体" w:eastAsia="宋体"/>
          <w:sz w:val="24"/>
          <w:szCs w:val="24"/>
        </w:rPr>
        <w:t>管。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、单个去盖模块处理能力≥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00管/小时。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、单个去盖模块废弃盖子回收箱容量≥</w:t>
      </w:r>
      <w:r>
        <w:rPr>
          <w:rFonts w:ascii="宋体" w:hAnsi="宋体" w:eastAsia="宋体"/>
          <w:sz w:val="24"/>
          <w:szCs w:val="24"/>
        </w:rPr>
        <w:t>2000</w:t>
      </w:r>
      <w:r>
        <w:rPr>
          <w:rFonts w:hint="eastAsia" w:ascii="宋体" w:hAnsi="宋体" w:eastAsia="宋体"/>
          <w:sz w:val="24"/>
          <w:szCs w:val="24"/>
        </w:rPr>
        <w:t>个。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、单个加盖模块处理能力≥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0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管/小时。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▲1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、单个低温样本存储模块容量≥6000管，低温存储模块能够自动对已完成检测的样本管进行低温存储，存储温度范围2℃</w:t>
      </w:r>
      <w:r>
        <w:rPr>
          <w:rFonts w:ascii="宋体" w:hAnsi="宋体" w:eastAsia="宋体"/>
          <w:sz w:val="24"/>
          <w:szCs w:val="24"/>
        </w:rPr>
        <w:t>-8</w:t>
      </w:r>
      <w:r>
        <w:rPr>
          <w:rFonts w:hint="eastAsia" w:ascii="宋体" w:hAnsi="宋体" w:eastAsia="宋体"/>
          <w:sz w:val="24"/>
          <w:szCs w:val="24"/>
        </w:rPr>
        <w:t>℃。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、轨道系统采用双向轨道设计，主轨道数量≥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根。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15</w:t>
      </w:r>
      <w:r>
        <w:rPr>
          <w:rFonts w:hint="eastAsia" w:ascii="宋体" w:hAnsi="宋体" w:eastAsia="宋体"/>
          <w:sz w:val="24"/>
          <w:szCs w:val="24"/>
        </w:rPr>
        <w:t>、轨道系统及前后处理模块抓手采用电动马达驱动，无需空压机提供动力，可显著降低实验室的噪音及节约实验室空间。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16</w:t>
      </w:r>
      <w:r>
        <w:rPr>
          <w:rFonts w:hint="eastAsia" w:ascii="宋体" w:hAnsi="宋体" w:eastAsia="宋体"/>
          <w:sz w:val="24"/>
          <w:szCs w:val="24"/>
        </w:rPr>
        <w:t>、样本在轨道系统上以单个样本管的方式传输提高样本处理的灵活性，样本运输小车无需通过电池充电提供动力，运输小车配置RFID技术，实时追踪定位样本信息，轨道临时停止运行时，仍可准确查询样本位置信息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综合检测速度≥</w:t>
      </w:r>
      <w:r>
        <w:rPr>
          <w:rFonts w:ascii="宋体" w:hAnsi="宋体" w:eastAsia="宋体"/>
          <w:sz w:val="24"/>
          <w:szCs w:val="24"/>
        </w:rPr>
        <w:t>48</w:t>
      </w:r>
      <w:r>
        <w:rPr>
          <w:rFonts w:hint="eastAsia" w:ascii="宋体" w:hAnsi="宋体" w:eastAsia="宋体"/>
          <w:sz w:val="24"/>
          <w:szCs w:val="24"/>
        </w:rPr>
        <w:t>00测试/小时。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为模块化设计，方便后期扩展，单台仪器可扩展光学分析模块数量≥4个。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19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最小光学分析模块测试速度≥2000测试/小时。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单个电解质模块（含钾、钠、氯)测试速度≥900测试/小时。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21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电解质模块为独立模块并且配置单独的样本针，不与光学分析模块共用样本针，避免携带污染及相互影响检测速度。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全自动生化分析仪样本装卸载区(不含缓冲区</w:t>
      </w:r>
      <w:r>
        <w:rPr>
          <w:rFonts w:ascii="宋体" w:hAnsi="宋体" w:eastAsia="宋体" w:cs="微软雅黑"/>
          <w:color w:val="000000"/>
          <w:sz w:val="24"/>
          <w:szCs w:val="24"/>
        </w:rPr>
        <w:t>)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可同时容纳样本数≥</w:t>
      </w:r>
      <w:r>
        <w:rPr>
          <w:rFonts w:ascii="宋体" w:hAnsi="宋体" w:eastAsia="宋体" w:cs="微软雅黑"/>
          <w:color w:val="000000"/>
          <w:sz w:val="24"/>
          <w:szCs w:val="24"/>
        </w:rPr>
        <w:t>800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管，支持样本的连续进样。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23</w:t>
      </w:r>
      <w:r>
        <w:rPr>
          <w:rFonts w:hint="eastAsia" w:ascii="宋体" w:hAnsi="宋体" w:eastAsia="宋体"/>
          <w:sz w:val="24"/>
          <w:szCs w:val="24"/>
        </w:rPr>
        <w:t>、为缩短急诊样本报告时间，全自动生化分析仪具备独立的急诊架装载区，急诊样本架进样装载区可同时装载样本数量≥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0管。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24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比色控温方式：采用无成本支出和免保养的恒温干式方式，无需水、惰性油等添加剂。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25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比色杯为石英玻璃比色杯，减少保养成本及降低停机维护频率。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26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光学分析模块最小加样体积≤1.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ul。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27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光学分析模块最小总反应体积≤80ul(不含电解质项目)。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28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检测波长数量≥13个。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29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微软雅黑"/>
          <w:color w:val="000000"/>
          <w:sz w:val="24"/>
          <w:szCs w:val="24"/>
        </w:rPr>
        <w:t>全自动生化分析仪</w:t>
      </w:r>
      <w:r>
        <w:rPr>
          <w:rFonts w:hint="eastAsia" w:ascii="宋体" w:hAnsi="宋体" w:eastAsia="宋体"/>
          <w:sz w:val="24"/>
          <w:szCs w:val="24"/>
        </w:rPr>
        <w:t>最小光学分析模块反应杯数量≥408个。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30</w:t>
      </w:r>
      <w:r>
        <w:rPr>
          <w:rFonts w:hint="eastAsia" w:ascii="宋体" w:hAnsi="宋体" w:eastAsia="宋体"/>
          <w:sz w:val="24"/>
          <w:szCs w:val="24"/>
        </w:rPr>
        <w:t>、为避免高峰期样本堵塞在主轨道影响主轨道的样本传输效率，全自动生化分析仪接口缓冲区总容量≥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0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管。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31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Calibri"/>
          <w:sz w:val="24"/>
          <w:szCs w:val="24"/>
        </w:rPr>
        <w:t>在线免疫分析系统</w:t>
      </w:r>
      <w:r>
        <w:rPr>
          <w:rFonts w:hint="eastAsia" w:ascii="宋体" w:hAnsi="宋体" w:eastAsia="宋体"/>
          <w:sz w:val="24"/>
          <w:szCs w:val="24"/>
        </w:rPr>
        <w:t>综合检测速度≥</w:t>
      </w:r>
      <w:r>
        <w:rPr>
          <w:rFonts w:ascii="宋体" w:hAnsi="宋体" w:eastAsia="宋体"/>
          <w:sz w:val="24"/>
          <w:szCs w:val="24"/>
        </w:rPr>
        <w:t>75</w:t>
      </w:r>
      <w:r>
        <w:rPr>
          <w:rFonts w:hint="eastAsia" w:ascii="宋体" w:hAnsi="宋体" w:eastAsia="宋体"/>
          <w:sz w:val="24"/>
          <w:szCs w:val="24"/>
        </w:rPr>
        <w:t>0测试/小时，最小检测模块测试速度≥3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0测试/小时。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32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Calibri"/>
          <w:sz w:val="24"/>
          <w:szCs w:val="24"/>
        </w:rPr>
        <w:t>在线免疫分析系统</w:t>
      </w:r>
      <w:r>
        <w:rPr>
          <w:rFonts w:hint="eastAsia" w:ascii="宋体" w:hAnsi="宋体" w:eastAsia="宋体"/>
          <w:sz w:val="24"/>
          <w:szCs w:val="24"/>
        </w:rPr>
        <w:t>具备急诊样本优先处理功能，第一个急诊样本结果时间≤15分钟。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33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Calibri"/>
          <w:sz w:val="24"/>
          <w:szCs w:val="24"/>
        </w:rPr>
        <w:t>在线免疫分析系统</w:t>
      </w:r>
      <w:r>
        <w:rPr>
          <w:rFonts w:hint="eastAsia" w:ascii="宋体" w:hAnsi="宋体" w:eastAsia="宋体"/>
          <w:sz w:val="24"/>
          <w:szCs w:val="24"/>
        </w:rPr>
        <w:t>最小检测模块一次性可装载反应杯数量≥1400个，支持不停机加载。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 w:cs="Calibri"/>
          <w:sz w:val="24"/>
          <w:szCs w:val="24"/>
        </w:rPr>
        <w:t>在线免疫分析系统</w:t>
      </w:r>
      <w:r>
        <w:rPr>
          <w:rFonts w:hint="eastAsia" w:ascii="宋体" w:hAnsi="宋体" w:eastAsia="宋体"/>
          <w:sz w:val="24"/>
          <w:szCs w:val="24"/>
        </w:rPr>
        <w:t>冷藏试剂位数量≥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0个(不含辅助试剂位置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</w:rPr>
        <w:t>，可在线不停机加载试剂。</w:t>
      </w:r>
    </w:p>
    <w:p>
      <w:pPr>
        <w:spacing w:line="360" w:lineRule="auto"/>
        <w:rPr>
          <w:rFonts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★</w:t>
      </w:r>
      <w:r>
        <w:rPr>
          <w:rFonts w:ascii="宋体" w:hAnsi="宋体" w:eastAsia="宋体" w:cs="Calibri"/>
          <w:sz w:val="24"/>
          <w:szCs w:val="24"/>
        </w:rPr>
        <w:t>35</w:t>
      </w:r>
      <w:r>
        <w:rPr>
          <w:rFonts w:hint="eastAsia" w:ascii="宋体" w:hAnsi="宋体" w:eastAsia="宋体" w:cs="Calibri"/>
          <w:sz w:val="24"/>
          <w:szCs w:val="24"/>
        </w:rPr>
        <w:t>、在线免疫分析系统可同时开展炎症项目组合包括但不限于降钙素原、白介素6等、性激素项目组合包括但不限于人绒毛膜促性腺激素、雌二醇、孕酮、卵泡刺激素、黄体生成素、睾酮、泌乳素、抗缪勒管激素、抑制素A、甲功、肿瘤、心肌、贫血、术前八项、糖尿病、骨代谢、肝纤组合等。</w:t>
      </w:r>
    </w:p>
    <w:p>
      <w:pPr>
        <w:spacing w:line="360" w:lineRule="auto"/>
        <w:rPr>
          <w:rFonts w:ascii="宋体" w:hAnsi="宋体" w:eastAsia="宋体" w:cs="Calibri"/>
          <w:sz w:val="24"/>
          <w:szCs w:val="24"/>
        </w:rPr>
      </w:pPr>
    </w:p>
    <w:p>
      <w:pPr>
        <w:widowControl w:val="0"/>
        <w:spacing w:after="0" w:line="360" w:lineRule="auto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参数说明</w:t>
      </w:r>
    </w:p>
    <w:p>
      <w:pPr>
        <w:widowControl w:val="0"/>
        <w:spacing w:after="0" w:line="360" w:lineRule="auto"/>
        <w:rPr>
          <w:rFonts w:ascii="宋体" w:hAnsi="宋体" w:eastAsia="宋体" w:cs="Times New Roman"/>
          <w:color w:val="000000"/>
          <w:kern w:val="2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2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  <w:t>、“</w:t>
      </w: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  <w:t>”条款/参数为实质性条款/参数，有1条及以1条以上不满足视为无效投标。</w:t>
      </w:r>
    </w:p>
    <w:p>
      <w:pPr>
        <w:widowControl w:val="0"/>
        <w:spacing w:after="0" w:line="360" w:lineRule="auto"/>
        <w:rPr>
          <w:rFonts w:ascii="宋体" w:hAnsi="宋体" w:eastAsia="宋体" w:cs="Times New Roman"/>
          <w:color w:val="000000"/>
          <w:kern w:val="2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2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  <w:t>、“</w:t>
      </w: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  <w:t>”条款/参数为重要条款/参数，无“</w:t>
      </w: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  <w:t>” 或“</w:t>
      </w: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  <w:t>”标志的条款/参数为一般条款/参数。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YWM4Zjk3Nzk0MmE5ZmRkNGZlY2JlNmU0Mzk4OTUifQ=="/>
  </w:docVars>
  <w:rsids>
    <w:rsidRoot w:val="00D55052"/>
    <w:rsid w:val="00034DA7"/>
    <w:rsid w:val="000419D3"/>
    <w:rsid w:val="00112F39"/>
    <w:rsid w:val="00142D57"/>
    <w:rsid w:val="00205A8B"/>
    <w:rsid w:val="0021078D"/>
    <w:rsid w:val="00235F16"/>
    <w:rsid w:val="00265F74"/>
    <w:rsid w:val="00277CDB"/>
    <w:rsid w:val="00294B2B"/>
    <w:rsid w:val="002B1388"/>
    <w:rsid w:val="002F6F39"/>
    <w:rsid w:val="00326807"/>
    <w:rsid w:val="00391110"/>
    <w:rsid w:val="0039569C"/>
    <w:rsid w:val="00447BE1"/>
    <w:rsid w:val="00476F9B"/>
    <w:rsid w:val="004C3037"/>
    <w:rsid w:val="004D18EA"/>
    <w:rsid w:val="004D639F"/>
    <w:rsid w:val="004E54E3"/>
    <w:rsid w:val="0054479E"/>
    <w:rsid w:val="00596763"/>
    <w:rsid w:val="005A3375"/>
    <w:rsid w:val="005A3611"/>
    <w:rsid w:val="005C4248"/>
    <w:rsid w:val="005E6428"/>
    <w:rsid w:val="005F085D"/>
    <w:rsid w:val="006048FD"/>
    <w:rsid w:val="00613DD1"/>
    <w:rsid w:val="00637F33"/>
    <w:rsid w:val="006A0A5E"/>
    <w:rsid w:val="006B0725"/>
    <w:rsid w:val="00751466"/>
    <w:rsid w:val="0076487D"/>
    <w:rsid w:val="00781C1C"/>
    <w:rsid w:val="007A5888"/>
    <w:rsid w:val="007F28D8"/>
    <w:rsid w:val="0088783A"/>
    <w:rsid w:val="008A350D"/>
    <w:rsid w:val="008E2D15"/>
    <w:rsid w:val="00937D2F"/>
    <w:rsid w:val="00947492"/>
    <w:rsid w:val="009A0800"/>
    <w:rsid w:val="009A643C"/>
    <w:rsid w:val="009C263E"/>
    <w:rsid w:val="009F4980"/>
    <w:rsid w:val="00A04E6F"/>
    <w:rsid w:val="00A151C0"/>
    <w:rsid w:val="00A20B63"/>
    <w:rsid w:val="00A3583E"/>
    <w:rsid w:val="00A44355"/>
    <w:rsid w:val="00A94543"/>
    <w:rsid w:val="00AA57DE"/>
    <w:rsid w:val="00B1515B"/>
    <w:rsid w:val="00B35313"/>
    <w:rsid w:val="00B51CB8"/>
    <w:rsid w:val="00B84376"/>
    <w:rsid w:val="00BB72E2"/>
    <w:rsid w:val="00C60F5C"/>
    <w:rsid w:val="00CA01CC"/>
    <w:rsid w:val="00CC1C4B"/>
    <w:rsid w:val="00CC4109"/>
    <w:rsid w:val="00CE39E7"/>
    <w:rsid w:val="00D21CCE"/>
    <w:rsid w:val="00D55052"/>
    <w:rsid w:val="00D759AF"/>
    <w:rsid w:val="00D87C75"/>
    <w:rsid w:val="00DC72DA"/>
    <w:rsid w:val="00E23E4F"/>
    <w:rsid w:val="00E6602B"/>
    <w:rsid w:val="00F43748"/>
    <w:rsid w:val="00F621D3"/>
    <w:rsid w:val="00FB164C"/>
    <w:rsid w:val="00FC1765"/>
    <w:rsid w:val="00FE3217"/>
    <w:rsid w:val="00FF3338"/>
    <w:rsid w:val="3691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页眉 字符"/>
    <w:basedOn w:val="5"/>
    <w:link w:val="3"/>
    <w:qFormat/>
    <w:uiPriority w:val="99"/>
  </w:style>
  <w:style w:type="character" w:customStyle="1" w:styleId="7">
    <w:name w:val="页脚 字符"/>
    <w:basedOn w:val="5"/>
    <w:link w:val="2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styleId="9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Beckman Coulter</Company>
  <Pages>3</Pages>
  <Words>255</Words>
  <Characters>1455</Characters>
  <Lines>12</Lines>
  <Paragraphs>3</Paragraphs>
  <TotalTime>10</TotalTime>
  <ScaleCrop>false</ScaleCrop>
  <LinksUpToDate>false</LinksUpToDate>
  <CharactersWithSpaces>1707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2023-10-12T07:04:00Z</dcterms:created>
  <dc:creator>Yang, Ken (Zhi Qiang)</dc:creator>
  <cp:lastModifiedBy>南宁欧源医疗器械有限公司</cp:lastModifiedBy>
  <dcterms:modified xsi:type="dcterms:W3CDTF">2023-10-12T07:24:27Z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2022-11-07T09:20:33Z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077c5955-ef43-4436-9ad5-03588cd9bfce</vt:lpwstr>
  </property>
  <property fmtid="{D5CDD505-2E9C-101B-9397-08002B2CF9AE}" pid="8" name="MSIP_Label_73094ff5-79ca-456b-95f6-d578316a3809_ContentBits">
    <vt:lpwstr>0</vt:lpwstr>
  </property>
  <property fmtid="{D5CDD505-2E9C-101B-9397-08002B2CF9AE}" pid="9" name="KSOProductBuildVer">
    <vt:lpwstr>2052-12.1.0.15712</vt:lpwstr>
  </property>
  <property fmtid="{D5CDD505-2E9C-101B-9397-08002B2CF9AE}" pid="10" name="ICV">
    <vt:lpwstr>9CCF241A96374C9298ED4238A3402928_12</vt:lpwstr>
  </property>
</Properties>
</file>